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FORM 10-Q</w:t>
      </w:r>
    </w:p>
    <w:p>
      <w:pPr>
        <w:jc w:val="center"/>
        <w:ind w:right="15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579"/>
        <w:spacing w:after="0"/>
        <w:rPr>
          <w:sz w:val="20"/>
          <w:szCs w:val="20"/>
          <w:color w:val="auto"/>
        </w:rPr>
      </w:pPr>
      <w:r>
        <w:rPr>
          <w:rFonts w:ascii="Courier New" w:cs="Courier New" w:eastAsia="Courier New" w:hAnsi="Courier New"/>
          <w:sz w:val="18"/>
          <w:szCs w:val="18"/>
          <w:color w:val="auto"/>
        </w:rPr>
        <w:t>Washington, DC 20549</w:t>
      </w:r>
    </w:p>
    <w:p>
      <w:pPr>
        <w:spacing w:after="0" w:line="206" w:lineRule="exact"/>
        <w:rPr>
          <w:sz w:val="24"/>
          <w:szCs w:val="24"/>
          <w:color w:val="auto"/>
        </w:rPr>
      </w:pPr>
    </w:p>
    <w:p>
      <w:pPr>
        <w:ind w:left="2640" w:right="2739" w:hanging="1473"/>
        <w:spacing w:after="0" w:line="235" w:lineRule="auto"/>
        <w:tabs>
          <w:tab w:leader="none" w:pos="158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quarterly period ended December 24, 1995</w:t>
      </w: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 TRANSITION REPORT PURSUANT TO SECTION 13 OR 15(D) OF THE</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1-10542</w:t>
      </w:r>
    </w:p>
    <w:p>
      <w:pPr>
        <w:spacing w:after="0" w:line="200" w:lineRule="exact"/>
        <w:rPr>
          <w:sz w:val="24"/>
          <w:szCs w:val="24"/>
          <w:color w:val="auto"/>
        </w:rPr>
      </w:pPr>
    </w:p>
    <w:p>
      <w:pPr>
        <w:sectPr>
          <w:pgSz w:w="11900" w:h="16838"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UNIFI, INC.</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(Exact name of registrant as specified its charter)</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11-2165495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180" w:space="720"/>
            <w:col w:w="4319"/>
          </w:cols>
          <w:pgMar w:left="240" w:top="244" w:right="1440" w:bottom="0" w:gutter="0" w:footer="0" w:header="0"/>
          <w:type w:val="continuous"/>
        </w:sectPr>
      </w:pPr>
    </w:p>
    <w:p>
      <w:pPr>
        <w:spacing w:after="0" w:line="2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P.O. Box 19109 - 7201 West Friendly Road</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Greensboro, NC</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27419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(910) 294-4410</w:t>
      </w:r>
    </w:p>
    <w:p>
      <w:pPr>
        <w:ind w:left="15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ind w:left="4120"/>
        <w:spacing w:after="0"/>
        <w:rPr>
          <w:sz w:val="20"/>
          <w:szCs w:val="20"/>
          <w:color w:val="auto"/>
        </w:rPr>
      </w:pPr>
      <w:r>
        <w:rPr>
          <w:rFonts w:ascii="Courier New" w:cs="Courier New" w:eastAsia="Courier New" w:hAnsi="Courier New"/>
          <w:sz w:val="18"/>
          <w:szCs w:val="18"/>
          <w:color w:val="auto"/>
        </w:rPr>
        <w:t>Same</w:t>
      </w:r>
    </w:p>
    <w:p>
      <w:pPr>
        <w:ind w:left="1580"/>
        <w:spacing w:after="0" w:line="237" w:lineRule="auto"/>
        <w:rPr>
          <w:sz w:val="20"/>
          <w:szCs w:val="20"/>
          <w:color w:val="auto"/>
        </w:rPr>
      </w:pPr>
      <w:r>
        <w:rPr>
          <w:rFonts w:ascii="Courier New" w:cs="Courier New" w:eastAsia="Courier New" w:hAnsi="Courier New"/>
          <w:sz w:val="18"/>
          <w:szCs w:val="18"/>
          <w:color w:val="auto"/>
        </w:rPr>
        <w:t>(Former name, former address and former fiscal year,</w:t>
      </w:r>
    </w:p>
    <w:p>
      <w:pPr>
        <w:ind w:left="2740"/>
        <w:spacing w:after="0" w:line="238" w:lineRule="auto"/>
        <w:rPr>
          <w:sz w:val="20"/>
          <w:szCs w:val="20"/>
          <w:color w:val="auto"/>
        </w:rPr>
      </w:pPr>
      <w:r>
        <w:rPr>
          <w:rFonts w:ascii="Courier New" w:cs="Courier New" w:eastAsia="Courier New" w:hAnsi="Courier New"/>
          <w:sz w:val="18"/>
          <w:szCs w:val="18"/>
          <w:color w:val="auto"/>
        </w:rPr>
        <w:t>if changed since last report)</w:t>
      </w:r>
    </w:p>
    <w:p>
      <w:pPr>
        <w:ind w:left="220"/>
        <w:spacing w:after="0"/>
        <w:tabs>
          <w:tab w:leader="none" w:pos="1560" w:val="left"/>
          <w:tab w:leader="none" w:pos="2840" w:val="left"/>
          <w:tab w:leader="none" w:pos="4200" w:val="left"/>
          <w:tab w:leader="none" w:pos="5460" w:val="left"/>
          <w:tab w:leader="none" w:pos="6420" w:val="left"/>
          <w:tab w:leader="none" w:pos="7580" w:val="left"/>
        </w:tabs>
        <w:rPr>
          <w:sz w:val="20"/>
          <w:szCs w:val="20"/>
          <w:color w:val="auto"/>
        </w:rPr>
      </w:pPr>
      <w:r>
        <w:rPr>
          <w:rFonts w:ascii="Courier New" w:cs="Courier New" w:eastAsia="Courier New" w:hAnsi="Courier New"/>
          <w:sz w:val="18"/>
          <w:szCs w:val="18"/>
          <w:color w:val="auto"/>
        </w:rPr>
        <w:t>Indicate by</w:t>
        <w:tab/>
        <w:t>check mark</w:t>
        <w:tab/>
        <w:t>whether the</w:t>
        <w:tab/>
        <w:t>registrant</w:t>
        <w:tab/>
        <w:t>(1) has</w:t>
        <w:tab/>
        <w:t>filed all</w:t>
      </w:r>
      <w:r>
        <w:rPr>
          <w:sz w:val="20"/>
          <w:szCs w:val="20"/>
          <w:color w:val="auto"/>
        </w:rPr>
        <w:tab/>
      </w:r>
      <w:r>
        <w:rPr>
          <w:rFonts w:ascii="Courier New" w:cs="Courier New" w:eastAsia="Courier New" w:hAnsi="Courier New"/>
          <w:sz w:val="16"/>
          <w:szCs w:val="16"/>
          <w:color w:val="auto"/>
        </w:rPr>
        <w:t>reports</w:t>
      </w:r>
    </w:p>
    <w:p>
      <w:pPr>
        <w:sectPr>
          <w:pgSz w:w="11900" w:h="16838" w:orient="portrait"/>
          <w:cols w:equalWidth="0" w:num="1">
            <w:col w:w="10219"/>
          </w:cols>
          <w:pgMar w:left="240" w:top="244" w:right="1440" w:bottom="0" w:gutter="0" w:footer="0" w:header="0"/>
          <w:type w:val="continuous"/>
        </w:sectPr>
      </w:pPr>
    </w:p>
    <w:tbl>
      <w:tblPr>
        <w:tblLayout w:type="fixed"/>
        <w:tblInd w:w="220" w:type="dxa"/>
        <w:tblCellMar>
          <w:top w:w="0" w:type="dxa"/>
          <w:left w:w="0" w:type="dxa"/>
          <w:bottom w:w="0" w:type="dxa"/>
          <w:right w:w="0" w:type="dxa"/>
        </w:tblCellMar>
      </w:tblPr>
      <w:tr>
        <w:trPr>
          <w:trHeight w:val="202"/>
        </w:trPr>
        <w:tc>
          <w:tcPr>
            <w:tcW w:w="12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required to</w:t>
            </w:r>
          </w:p>
        </w:tc>
        <w:tc>
          <w:tcPr>
            <w:tcW w:w="300" w:type="dxa"/>
            <w:vAlign w:val="bottom"/>
          </w:tcPr>
          <w:p>
            <w:pPr>
              <w:ind w:left="40"/>
              <w:spacing w:after="0" w:line="202" w:lineRule="exact"/>
              <w:rPr>
                <w:sz w:val="20"/>
                <w:szCs w:val="20"/>
                <w:color w:val="auto"/>
              </w:rPr>
            </w:pPr>
            <w:r>
              <w:rPr>
                <w:rFonts w:ascii="Courier New" w:cs="Courier New" w:eastAsia="Courier New" w:hAnsi="Courier New"/>
                <w:sz w:val="18"/>
                <w:szCs w:val="18"/>
                <w:color w:val="auto"/>
              </w:rPr>
              <w:t>be</w:t>
            </w:r>
          </w:p>
        </w:tc>
        <w:tc>
          <w:tcPr>
            <w:tcW w:w="96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filed by</w:t>
            </w:r>
          </w:p>
        </w:tc>
        <w:tc>
          <w:tcPr>
            <w:tcW w:w="1460" w:type="dxa"/>
            <w:vAlign w:val="bottom"/>
            <w:gridSpan w:val="3"/>
          </w:tcPr>
          <w:p>
            <w:pPr>
              <w:jc w:val="right"/>
              <w:spacing w:after="0" w:line="202" w:lineRule="exact"/>
              <w:rPr>
                <w:sz w:val="20"/>
                <w:szCs w:val="20"/>
                <w:color w:val="auto"/>
              </w:rPr>
            </w:pPr>
            <w:r>
              <w:rPr>
                <w:rFonts w:ascii="Courier New" w:cs="Courier New" w:eastAsia="Courier New" w:hAnsi="Courier New"/>
                <w:sz w:val="18"/>
                <w:szCs w:val="18"/>
                <w:color w:val="auto"/>
                <w:w w:val="99"/>
              </w:rPr>
              <w:t>Section 13 or</w:t>
            </w:r>
          </w:p>
        </w:tc>
        <w:tc>
          <w:tcPr>
            <w:tcW w:w="96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15(d) of</w:t>
            </w:r>
          </w:p>
        </w:tc>
        <w:tc>
          <w:tcPr>
            <w:tcW w:w="3220" w:type="dxa"/>
            <w:vAlign w:val="bottom"/>
            <w:gridSpan w:val="5"/>
          </w:tcPr>
          <w:p>
            <w:pPr>
              <w:jc w:val="right"/>
              <w:spacing w:after="0" w:line="202" w:lineRule="exact"/>
              <w:rPr>
                <w:sz w:val="20"/>
                <w:szCs w:val="20"/>
                <w:color w:val="auto"/>
              </w:rPr>
            </w:pPr>
            <w:r>
              <w:rPr>
                <w:rFonts w:ascii="Courier New" w:cs="Courier New" w:eastAsia="Courier New" w:hAnsi="Courier New"/>
                <w:sz w:val="18"/>
                <w:szCs w:val="18"/>
                <w:color w:val="auto"/>
                <w:w w:val="98"/>
              </w:rPr>
              <w:t>the Securities Exchange Act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1934</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during</w:t>
            </w:r>
          </w:p>
        </w:tc>
        <w:tc>
          <w:tcPr>
            <w:tcW w:w="1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the  preceding</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12  months</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for</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such</w:t>
            </w:r>
          </w:p>
        </w:tc>
        <w:tc>
          <w:tcPr>
            <w:tcW w:w="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shorter</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period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that the</w:t>
            </w:r>
          </w:p>
        </w:tc>
      </w:tr>
      <w:tr>
        <w:trPr>
          <w:trHeight w:val="203"/>
        </w:trPr>
        <w:tc>
          <w:tcPr>
            <w:tcW w:w="15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registrant was</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required</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file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reports), and</w:t>
            </w:r>
          </w:p>
        </w:tc>
        <w:tc>
          <w:tcPr>
            <w:tcW w:w="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 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been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subject to</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filing</w:t>
            </w:r>
          </w:p>
        </w:tc>
        <w:tc>
          <w:tcPr>
            <w:tcW w:w="22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requirements for the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past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 days.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Yes</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 of common stock, as of the latest practicable date.</w:t>
      </w:r>
    </w:p>
    <w:p>
      <w:pPr>
        <w:spacing w:after="0" w:line="203"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4260" w:type="dxa"/>
            <w:vAlign w:val="bottom"/>
          </w:tcPr>
          <w:p>
            <w:pPr>
              <w:ind w:left="1260"/>
              <w:spacing w:after="0"/>
              <w:rPr>
                <w:sz w:val="20"/>
                <w:szCs w:val="20"/>
                <w:color w:val="auto"/>
              </w:rPr>
            </w:pPr>
            <w:r>
              <w:rPr>
                <w:rFonts w:ascii="Courier New" w:cs="Courier New" w:eastAsia="Courier New" w:hAnsi="Courier New"/>
                <w:sz w:val="18"/>
                <w:szCs w:val="18"/>
                <w:color w:val="auto"/>
              </w:rPr>
              <w:t>Class</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rPr>
              <w:t>Outstanding at January 28,</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42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 per share</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65,085,684 Shares</w:t>
            </w:r>
          </w:p>
        </w:tc>
        <w:tc>
          <w:tcPr>
            <w:tcW w:w="48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Part I. Financial Information</w:t>
            </w:r>
          </w:p>
        </w:tc>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3700" w:type="dxa"/>
            <w:vAlign w:val="bottom"/>
          </w:tcPr>
          <w:p>
            <w:pPr>
              <w:spacing w:after="0"/>
              <w:rPr>
                <w:sz w:val="24"/>
                <w:szCs w:val="24"/>
                <w:color w:val="auto"/>
              </w:rPr>
            </w:pPr>
          </w:p>
        </w:tc>
        <w:tc>
          <w:tcPr>
            <w:tcW w:w="2520" w:type="dxa"/>
            <w:vAlign w:val="bottom"/>
          </w:tcPr>
          <w:p>
            <w:pPr>
              <w:jc w:val="right"/>
              <w:ind w:right="1272"/>
              <w:spacing w:after="0"/>
              <w:rPr>
                <w:sz w:val="20"/>
                <w:szCs w:val="20"/>
                <w:color w:val="auto"/>
              </w:rPr>
            </w:pPr>
            <w:r>
              <w:rPr>
                <w:rFonts w:ascii="Courier New" w:cs="Courier New" w:eastAsia="Courier New" w:hAnsi="Courier New"/>
                <w:sz w:val="18"/>
                <w:szCs w:val="18"/>
                <w:color w:val="auto"/>
                <w:w w:val="95"/>
              </w:rPr>
              <w:t>UNIFI, INC.</w:t>
            </w:r>
          </w:p>
        </w:tc>
        <w:tc>
          <w:tcPr>
            <w:tcW w:w="1060" w:type="dxa"/>
            <w:vAlign w:val="bottom"/>
          </w:tcPr>
          <w:p>
            <w:pPr>
              <w:spacing w:after="0"/>
              <w:rPr>
                <w:sz w:val="24"/>
                <w:szCs w:val="24"/>
                <w:color w:val="auto"/>
              </w:rPr>
            </w:pPr>
          </w:p>
        </w:tc>
      </w:tr>
      <w:tr>
        <w:trPr>
          <w:trHeight w:val="405"/>
        </w:trPr>
        <w:tc>
          <w:tcPr>
            <w:tcW w:w="6220" w:type="dxa"/>
            <w:vAlign w:val="bottom"/>
            <w:gridSpan w:val="2"/>
          </w:tcPr>
          <w:p>
            <w:pPr>
              <w:ind w:left="2320"/>
              <w:spacing w:after="0"/>
              <w:rPr>
                <w:sz w:val="20"/>
                <w:szCs w:val="20"/>
                <w:color w:val="auto"/>
              </w:rPr>
            </w:pPr>
            <w:r>
              <w:rPr>
                <w:rFonts w:ascii="Courier New" w:cs="Courier New" w:eastAsia="Courier New" w:hAnsi="Courier New"/>
                <w:sz w:val="18"/>
                <w:szCs w:val="18"/>
                <w:color w:val="auto"/>
                <w:w w:val="97"/>
              </w:rPr>
              <w:t>Condensed Consolidated Balance Sheets</w:t>
            </w:r>
          </w:p>
        </w:tc>
        <w:tc>
          <w:tcPr>
            <w:tcW w:w="1060" w:type="dxa"/>
            <w:vAlign w:val="bottom"/>
          </w:tcPr>
          <w:p>
            <w:pPr>
              <w:spacing w:after="0"/>
              <w:rPr>
                <w:sz w:val="24"/>
                <w:szCs w:val="24"/>
                <w:color w:val="auto"/>
              </w:rPr>
            </w:pPr>
          </w:p>
        </w:tc>
      </w:tr>
      <w:tr>
        <w:trPr>
          <w:trHeight w:val="405"/>
        </w:trPr>
        <w:tc>
          <w:tcPr>
            <w:tcW w:w="3700" w:type="dxa"/>
            <w:vAlign w:val="bottom"/>
          </w:tcPr>
          <w:p>
            <w:pPr>
              <w:spacing w:after="0"/>
              <w:rPr>
                <w:sz w:val="24"/>
                <w:szCs w:val="24"/>
                <w:color w:val="auto"/>
              </w:rPr>
            </w:pPr>
          </w:p>
        </w:tc>
        <w:tc>
          <w:tcPr>
            <w:tcW w:w="2520" w:type="dxa"/>
            <w:vAlign w:val="bottom"/>
          </w:tcPr>
          <w:p>
            <w:pPr>
              <w:ind w:left="1040"/>
              <w:spacing w:after="0"/>
              <w:rPr>
                <w:sz w:val="20"/>
                <w:szCs w:val="20"/>
                <w:color w:val="auto"/>
              </w:rPr>
            </w:pPr>
            <w:r>
              <w:rPr>
                <w:rFonts w:ascii="Courier New" w:cs="Courier New" w:eastAsia="Courier New" w:hAnsi="Courier New"/>
                <w:sz w:val="18"/>
                <w:szCs w:val="18"/>
                <w:color w:val="auto"/>
              </w:rPr>
              <w:t>December 24,</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June 25,</w:t>
            </w:r>
          </w:p>
        </w:tc>
      </w:tr>
      <w:tr>
        <w:trPr>
          <w:trHeight w:val="203"/>
        </w:trPr>
        <w:tc>
          <w:tcPr>
            <w:tcW w:w="3700" w:type="dxa"/>
            <w:vAlign w:val="bottom"/>
          </w:tcPr>
          <w:p>
            <w:pPr>
              <w:spacing w:after="0"/>
              <w:rPr>
                <w:sz w:val="17"/>
                <w:szCs w:val="17"/>
                <w:color w:val="auto"/>
              </w:rPr>
            </w:pPr>
          </w:p>
        </w:tc>
        <w:tc>
          <w:tcPr>
            <w:tcW w:w="2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700" w:type="dxa"/>
            <w:vAlign w:val="bottom"/>
          </w:tcPr>
          <w:p>
            <w:pPr>
              <w:spacing w:after="0"/>
              <w:rPr>
                <w:sz w:val="17"/>
                <w:szCs w:val="17"/>
                <w:color w:val="auto"/>
              </w:rPr>
            </w:pPr>
          </w:p>
        </w:tc>
        <w:tc>
          <w:tcPr>
            <w:tcW w:w="25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(Unaudited)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(Audited)</w:t>
            </w:r>
          </w:p>
        </w:tc>
      </w:tr>
      <w:tr>
        <w:trPr>
          <w:trHeight w:val="203"/>
        </w:trPr>
        <w:tc>
          <w:tcPr>
            <w:tcW w:w="3700" w:type="dxa"/>
            <w:vAlign w:val="bottom"/>
          </w:tcPr>
          <w:p>
            <w:pPr>
              <w:spacing w:after="0"/>
              <w:rPr>
                <w:sz w:val="17"/>
                <w:szCs w:val="17"/>
                <w:color w:val="auto"/>
              </w:rPr>
            </w:pP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(Amounts in Thousands)</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Assets:</w:t>
            </w:r>
          </w:p>
        </w:tc>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$16,672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$60,350</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63,891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85,844</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Receivables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197,370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209,432</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Raw Materials and Supplies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53,302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58,959</w:t>
            </w: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Work in Process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13,044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14,296</w:t>
            </w: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Finished Goods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75,316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66,123</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2,562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8,017</w:t>
            </w: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422,157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503,021</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e and f)</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980,673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910,383</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Less:  Accumulated Depreciation</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432,797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394,168</w:t>
            </w:r>
          </w:p>
        </w:tc>
      </w:tr>
      <w:tr>
        <w:trPr>
          <w:trHeight w:val="203"/>
        </w:trPr>
        <w:tc>
          <w:tcPr>
            <w:tcW w:w="3700" w:type="dxa"/>
            <w:vAlign w:val="bottom"/>
          </w:tcPr>
          <w:p>
            <w:pPr>
              <w:spacing w:after="0"/>
              <w:rPr>
                <w:sz w:val="17"/>
                <w:szCs w:val="17"/>
                <w:color w:val="auto"/>
              </w:rPr>
            </w:pP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547,876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516,215</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 Affiliates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41,096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21,493</w:t>
            </w:r>
          </w:p>
        </w:tc>
      </w:tr>
      <w:tr>
        <w:trPr>
          <w:trHeight w:val="203"/>
        </w:trPr>
        <w:tc>
          <w:tcPr>
            <w:tcW w:w="3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$1,011,140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$1,040,902</w:t>
            </w:r>
          </w:p>
        </w:tc>
      </w:tr>
    </w:tbl>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LIABILITIES AND SHAREHOLDERS' EQUITY</w:t>
      </w:r>
    </w:p>
    <w:p>
      <w:pPr>
        <w:ind w:left="220"/>
        <w:spacing w:after="0" w:line="238" w:lineRule="auto"/>
        <w:rPr>
          <w:sz w:val="20"/>
          <w:szCs w:val="20"/>
          <w:color w:val="auto"/>
        </w:rPr>
      </w:pPr>
      <w:r>
        <w:rPr>
          <w:rFonts w:ascii="Courier New" w:cs="Courier New" w:eastAsia="Courier New" w:hAnsi="Courier New"/>
          <w:sz w:val="18"/>
          <w:szCs w:val="18"/>
          <w:color w:val="auto"/>
        </w:rPr>
        <w:t>Current Liabilities:</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4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Accounts Payable</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$98,208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$100,165</w:t>
            </w:r>
          </w:p>
        </w:tc>
      </w:tr>
      <w:tr>
        <w:trPr>
          <w:trHeight w:val="203"/>
        </w:trPr>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Accrued</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61,792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54,338</w:t>
            </w:r>
          </w:p>
        </w:tc>
      </w:tr>
      <w:tr>
        <w:trPr>
          <w:trHeight w:val="203"/>
        </w:trPr>
        <w:tc>
          <w:tcPr>
            <w:tcW w:w="4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Income Taxes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15,161</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171,559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169,664</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Long-Term</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Debt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230,000</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31,354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37,736</w:t>
            </w: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Common Stock</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6,560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6,714</w:t>
            </w:r>
          </w:p>
        </w:tc>
      </w:tr>
      <w:tr>
        <w:trPr>
          <w:trHeight w:val="203"/>
        </w:trPr>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Capital</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Excess of Par Value</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80,272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117,277</w:t>
            </w:r>
          </w:p>
        </w:tc>
      </w:tr>
      <w:tr>
        <w:trPr>
          <w:trHeight w:val="203"/>
        </w:trPr>
        <w:tc>
          <w:tcPr>
            <w:tcW w:w="4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487,550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473,962</w:t>
            </w:r>
          </w:p>
        </w:tc>
      </w:tr>
      <w:tr>
        <w:trPr>
          <w:trHeight w:val="203"/>
        </w:trPr>
        <w:tc>
          <w:tcPr>
            <w:tcW w:w="4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4,415</w:t>
            </w:r>
          </w:p>
        </w:tc>
      </w:tr>
      <w:tr>
        <w:trPr>
          <w:trHeight w:val="203"/>
        </w:trPr>
        <w:tc>
          <w:tcPr>
            <w:tcW w:w="4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Unrealized Gains on Certain Investments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578,227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603,502</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Liabilities</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$1,011,140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$1,040,902</w:t>
            </w:r>
          </w:p>
        </w:tc>
      </w:tr>
    </w:tbl>
    <w:p>
      <w:pPr>
        <w:ind w:left="520"/>
        <w:spacing w:after="0" w:line="238" w:lineRule="auto"/>
        <w:rPr>
          <w:sz w:val="20"/>
          <w:szCs w:val="20"/>
          <w:color w:val="auto"/>
        </w:rPr>
      </w:pPr>
      <w:r>
        <w:rPr>
          <w:rFonts w:ascii="Courier New" w:cs="Courier New" w:eastAsia="Courier New" w:hAnsi="Courier New"/>
          <w:sz w:val="18"/>
          <w:szCs w:val="18"/>
          <w:color w:val="auto"/>
        </w:rPr>
        <w:t>and Shareholders' Equity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9999"/>
          </w:cols>
          <w:pgMar w:left="46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24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UNIFI, INC.</w:t>
            </w: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664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Condensed Consolidated Statements of Income</w:t>
            </w:r>
          </w:p>
        </w:tc>
        <w:tc>
          <w:tcPr>
            <w:tcW w:w="1040" w:type="dxa"/>
            <w:vAlign w:val="bottom"/>
          </w:tcPr>
          <w:p>
            <w:pPr>
              <w:spacing w:after="0"/>
              <w:rPr>
                <w:sz w:val="24"/>
                <w:szCs w:val="24"/>
                <w:color w:val="auto"/>
              </w:rPr>
            </w:pPr>
          </w:p>
        </w:tc>
      </w:tr>
      <w:tr>
        <w:trPr>
          <w:trHeight w:val="405"/>
        </w:trPr>
        <w:tc>
          <w:tcPr>
            <w:tcW w:w="2900" w:type="dxa"/>
            <w:vAlign w:val="bottom"/>
          </w:tcPr>
          <w:p>
            <w:pPr>
              <w:spacing w:after="0"/>
              <w:rPr>
                <w:sz w:val="24"/>
                <w:szCs w:val="24"/>
                <w:color w:val="auto"/>
              </w:rPr>
            </w:pPr>
          </w:p>
        </w:tc>
        <w:tc>
          <w:tcPr>
            <w:tcW w:w="24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(Unaudited)</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05"/>
        </w:trPr>
        <w:tc>
          <w:tcPr>
            <w:tcW w:w="2900" w:type="dxa"/>
            <w:vAlign w:val="bottom"/>
          </w:tcPr>
          <w:p>
            <w:pPr>
              <w:spacing w:after="0"/>
              <w:rPr>
                <w:sz w:val="24"/>
                <w:szCs w:val="24"/>
                <w:color w:val="auto"/>
              </w:rPr>
            </w:pPr>
          </w:p>
        </w:tc>
        <w:tc>
          <w:tcPr>
            <w:tcW w:w="248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For the Quarters</w:t>
            </w:r>
          </w:p>
        </w:tc>
        <w:tc>
          <w:tcPr>
            <w:tcW w:w="23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For the Six Months</w:t>
            </w:r>
          </w:p>
        </w:tc>
      </w:tr>
      <w:tr>
        <w:trPr>
          <w:trHeight w:val="203"/>
        </w:trPr>
        <w:tc>
          <w:tcPr>
            <w:tcW w:w="29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1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10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 24,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Dec. 25,</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 24,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Dec. 25,</w:t>
            </w:r>
          </w:p>
        </w:tc>
      </w:tr>
      <w:tr>
        <w:trPr>
          <w:trHeight w:val="203"/>
        </w:trPr>
        <w:tc>
          <w:tcPr>
            <w:tcW w:w="2900" w:type="dxa"/>
            <w:vAlign w:val="bottom"/>
          </w:tcPr>
          <w:p>
            <w:pPr>
              <w:spacing w:after="0"/>
              <w:rPr>
                <w:sz w:val="17"/>
                <w:szCs w:val="17"/>
                <w:color w:val="auto"/>
              </w:rPr>
            </w:pP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1995</w:t>
            </w: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900" w:type="dxa"/>
            <w:vAlign w:val="bottom"/>
          </w:tcPr>
          <w:p>
            <w:pPr>
              <w:spacing w:after="0"/>
              <w:rPr>
                <w:sz w:val="17"/>
                <w:szCs w:val="17"/>
                <w:color w:val="auto"/>
              </w:rPr>
            </w:pPr>
          </w:p>
        </w:tc>
        <w:tc>
          <w:tcPr>
            <w:tcW w:w="47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(Amounts in Thousands Except Per Share Data)</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$401,437</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$387,297</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$788,806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$746,491</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$352,182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$332,182</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$694,622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$643,042</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&amp;</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Administrative Expense</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11,433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10,287</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21,505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19,961</w:t>
            </w:r>
          </w:p>
        </w:tc>
      </w:tr>
      <w:tr>
        <w:trPr>
          <w:trHeight w:val="405"/>
        </w:trPr>
        <w:tc>
          <w:tcPr>
            <w:tcW w:w="2900" w:type="dxa"/>
            <w:vAlign w:val="bottom"/>
          </w:tcPr>
          <w:p>
            <w:pPr>
              <w:ind w:left="320"/>
              <w:spacing w:after="0"/>
              <w:rPr>
                <w:sz w:val="20"/>
                <w:szCs w:val="20"/>
                <w:color w:val="auto"/>
              </w:rPr>
            </w:pPr>
            <w:r>
              <w:rPr>
                <w:rFonts w:ascii="Courier New" w:cs="Courier New" w:eastAsia="Courier New" w:hAnsi="Courier New"/>
                <w:sz w:val="18"/>
                <w:szCs w:val="18"/>
                <w:color w:val="auto"/>
              </w:rPr>
              <w:t>Interest Expense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3,760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3,935</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7,437</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7,873</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(1,981)</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(2,401)</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(4,618)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(5,053)</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(1,308)</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(2,259)</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(2,838)</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Non-Recurring Charge</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23,826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 e)</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$364,086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$341,744</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$741,034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$662,985</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$37,351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$45,553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$47,772</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$83,506</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Provisions for Income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13,233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17,433</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16,887</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32,697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$24,118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$28,120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$30,885</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$50,809</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w:t>
            </w:r>
          </w:p>
        </w:tc>
      </w:tr>
      <w:tr>
        <w:trPr>
          <w:trHeight w:val="203"/>
        </w:trPr>
        <w:tc>
          <w:tcPr>
            <w:tcW w:w="29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Primary</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900" w:type="dxa"/>
            <w:vAlign w:val="bottom"/>
          </w:tcPr>
          <w:p>
            <w:pPr>
              <w:ind w:left="1480"/>
              <w:spacing w:after="0"/>
              <w:rPr>
                <w:sz w:val="20"/>
                <w:szCs w:val="20"/>
                <w:color w:val="auto"/>
              </w:rPr>
            </w:pPr>
            <w:r>
              <w:rPr>
                <w:rFonts w:ascii="Courier New" w:cs="Courier New" w:eastAsia="Courier New" w:hAnsi="Courier New"/>
                <w:sz w:val="18"/>
                <w:szCs w:val="18"/>
                <w:color w:val="auto"/>
                <w:w w:val="99"/>
              </w:rPr>
              <w:t>Fully Diluted</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$.70</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Cash Dividends Per Share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$.26</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ectPr>
          <w:pgSz w:w="11900" w:h="16838" w:orient="portrait"/>
          <w:cols w:equalWidth="0" w:num="1">
            <w:col w:w="9999"/>
          </w:cols>
          <w:pgMar w:left="460" w:top="919"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UNIFI,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gridSpan w:val="2"/>
          </w:tcPr>
          <w:p>
            <w:pPr>
              <w:ind w:left="3480"/>
              <w:spacing w:after="0"/>
              <w:rPr>
                <w:sz w:val="20"/>
                <w:szCs w:val="20"/>
                <w:color w:val="auto"/>
              </w:rPr>
            </w:pPr>
            <w:r>
              <w:rPr>
                <w:rFonts w:ascii="Courier New" w:cs="Courier New" w:eastAsia="Courier New" w:hAnsi="Courier New"/>
                <w:sz w:val="18"/>
                <w:szCs w:val="18"/>
                <w:color w:val="auto"/>
              </w:rPr>
              <w:t>(Unaudited)</w:t>
            </w:r>
          </w:p>
        </w:tc>
        <w:tc>
          <w:tcPr>
            <w:tcW w:w="1360" w:type="dxa"/>
            <w:vAlign w:val="bottom"/>
          </w:tcPr>
          <w:p>
            <w:pPr>
              <w:spacing w:after="0"/>
              <w:rPr>
                <w:sz w:val="17"/>
                <w:szCs w:val="17"/>
                <w:color w:val="auto"/>
              </w:rPr>
            </w:pPr>
          </w:p>
        </w:tc>
      </w:tr>
      <w:tr>
        <w:trPr>
          <w:trHeight w:val="405"/>
        </w:trPr>
        <w:tc>
          <w:tcPr>
            <w:tcW w:w="4480" w:type="dxa"/>
            <w:vAlign w:val="bottom"/>
          </w:tcPr>
          <w:p>
            <w:pPr>
              <w:spacing w:after="0"/>
              <w:rPr>
                <w:sz w:val="24"/>
                <w:szCs w:val="24"/>
                <w:color w:val="auto"/>
              </w:rPr>
            </w:pPr>
          </w:p>
        </w:tc>
        <w:tc>
          <w:tcPr>
            <w:tcW w:w="278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For the Six Months Ended</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24,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25,</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4480" w:type="dxa"/>
            <w:vAlign w:val="bottom"/>
          </w:tcPr>
          <w:p>
            <w:pPr>
              <w:spacing w:after="0"/>
              <w:rPr>
                <w:sz w:val="17"/>
                <w:szCs w:val="17"/>
                <w:color w:val="auto"/>
              </w:rPr>
            </w:pPr>
          </w:p>
        </w:tc>
        <w:tc>
          <w:tcPr>
            <w:tcW w:w="2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(Amounts in Thousands)</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 Provided by Operating</w:t>
            </w:r>
          </w:p>
        </w:tc>
        <w:tc>
          <w:tcPr>
            <w:tcW w:w="13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 Net of Acquisitions</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$86,695</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$64,313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Capital Expenditures</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$(62,326)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$(45,161)</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(48,444)</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of Capital Assets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623</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539</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4,702</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Sale of Subsidiary and</w:t>
            </w: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Equity Investment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10,436</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13,798</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Sale of Short-Term Investments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79,845</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49,661</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(55,782)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(40,455)</w:t>
            </w:r>
          </w:p>
        </w:tc>
      </w:tr>
      <w:tr>
        <w:trPr>
          <w:trHeight w:val="203"/>
        </w:trPr>
        <w:tc>
          <w:tcPr>
            <w:tcW w:w="4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Investing Activities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$(75,732)</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$(16,832)</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4480" w:type="dxa"/>
            <w:vAlign w:val="bottom"/>
          </w:tcPr>
          <w:p>
            <w:pPr>
              <w:ind w:left="320"/>
              <w:spacing w:after="0"/>
              <w:rPr>
                <w:sz w:val="20"/>
                <w:szCs w:val="20"/>
                <w:color w:val="auto"/>
              </w:rPr>
            </w:pPr>
            <w:r>
              <w:rPr>
                <w:rFonts w:ascii="Courier New" w:cs="Courier New" w:eastAsia="Courier New" w:hAnsi="Courier New"/>
                <w:sz w:val="18"/>
                <w:szCs w:val="18"/>
                <w:color w:val="auto"/>
              </w:rPr>
              <w:t>Issuance of Common Stock</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$410</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 Paid</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(17,297)</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(14,056)</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Purchase and Retirement of Common Stock</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(37,185)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(56,219)</w:t>
            </w:r>
          </w:p>
        </w:tc>
      </w:tr>
      <w:tr>
        <w:trPr>
          <w:trHeight w:val="203"/>
        </w:trPr>
        <w:tc>
          <w:tcPr>
            <w:tcW w:w="4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Net Financing Activities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$(54,455)</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$(69,865)</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Currency Translation Adjustment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$(186)</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Increase (Decrease) in Cash</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$(43,678)</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$(22,420)</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Cash and Cash Equivalents - Beginning</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60,350</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80,653</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Cash and Cash Equivalents - Ending</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$16,672</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$58,233</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ectPr>
          <w:pgSz w:w="11900" w:h="16838" w:orient="portrait"/>
          <w:cols w:equalWidth="0" w:num="1">
            <w:col w:w="9999"/>
          </w:cols>
          <w:pgMar w:left="460" w:top="919"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UNIFI,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(a)Basis of Presentation</w:t>
      </w:r>
    </w:p>
    <w:p>
      <w:pPr>
        <w:spacing w:after="0" w:line="207" w:lineRule="exact"/>
        <w:rPr>
          <w:sz w:val="20"/>
          <w:szCs w:val="20"/>
          <w:color w:val="auto"/>
        </w:rPr>
      </w:pPr>
    </w:p>
    <w:p>
      <w:pPr>
        <w:jc w:val="both"/>
        <w:ind w:left="300" w:right="1879"/>
        <w:spacing w:after="0" w:line="237" w:lineRule="auto"/>
        <w:rPr>
          <w:sz w:val="20"/>
          <w:szCs w:val="20"/>
          <w:color w:val="auto"/>
        </w:rPr>
      </w:pPr>
      <w:r>
        <w:rPr>
          <w:rFonts w:ascii="Courier New" w:cs="Courier New" w:eastAsia="Courier New" w:hAnsi="Courier New"/>
          <w:sz w:val="18"/>
          <w:szCs w:val="18"/>
          <w:color w:val="auto"/>
        </w:rPr>
        <w:t>The information furnished is unaudited and reflects all adjustments which are, in the opinion of Management, necessary to present fairly the financial position at December 24, 1995 and the results of operations and cash flows for the periods ended December 24, 1995 and December 25, 1994. Such adjustments consisted of normal recurring items for all periods presented and, for the current year -to-date, the non-recurring charge described in Note (e). Interim results are not necessarily indicative of results for a full year. It is suggested that the condensed financial statements be read in conjunction with the financial statements and notes thereto included in the Company's latest annual report on Form 10-K.</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(b)Income Taxes</w:t>
      </w:r>
    </w:p>
    <w:p>
      <w:pPr>
        <w:spacing w:after="0" w:line="207" w:lineRule="exact"/>
        <w:rPr>
          <w:sz w:val="20"/>
          <w:szCs w:val="20"/>
          <w:color w:val="auto"/>
        </w:rPr>
      </w:pPr>
    </w:p>
    <w:p>
      <w:pPr>
        <w:jc w:val="both"/>
        <w:ind w:left="300" w:right="1879"/>
        <w:spacing w:after="0" w:line="236" w:lineRule="auto"/>
        <w:rPr>
          <w:sz w:val="20"/>
          <w:szCs w:val="20"/>
          <w:color w:val="auto"/>
        </w:rPr>
      </w:pPr>
      <w:r>
        <w:rPr>
          <w:rFonts w:ascii="Courier New" w:cs="Courier New" w:eastAsia="Courier New" w:hAnsi="Courier New"/>
          <w:sz w:val="18"/>
          <w:szCs w:val="18"/>
          <w:color w:val="auto"/>
        </w:rPr>
        <w:t>Deferred income taxes have been provided for the temporary differences between financial statement carrying amounts and tax basis of existing assets and liabilities.</w:t>
      </w:r>
    </w:p>
    <w:p>
      <w:pPr>
        <w:spacing w:after="0" w:line="209" w:lineRule="exact"/>
        <w:rPr>
          <w:sz w:val="20"/>
          <w:szCs w:val="20"/>
          <w:color w:val="auto"/>
        </w:rPr>
      </w:pPr>
    </w:p>
    <w:p>
      <w:pPr>
        <w:ind w:left="300" w:right="1879"/>
        <w:spacing w:after="0" w:line="237" w:lineRule="auto"/>
        <w:rPr>
          <w:sz w:val="20"/>
          <w:szCs w:val="20"/>
          <w:color w:val="auto"/>
        </w:rPr>
      </w:pPr>
      <w:r>
        <w:rPr>
          <w:rFonts w:ascii="Courier New" w:cs="Courier New" w:eastAsia="Courier New" w:hAnsi="Courier New"/>
          <w:sz w:val="18"/>
          <w:szCs w:val="18"/>
          <w:color w:val="auto"/>
        </w:rPr>
        <w:t>The difference between the statutory federal income tax rate and the effective tax rate is primarily due to results of foreign subsidiaries which are taxed at rates below those of U.S. operations. The current periods' pre-tax income from the Company's foreign operations represented a higher percentage of the Company's consolidated results than the corresponding periods of the prior year and the current periods effective tax rates for foreign operations were lower than prior year periods. Additionally, the Company's effective tax rate for U.S. operations is lower in the current periods due to the realization of increased tax credits. These factors contributed to the decline in the lower effective tax rates for the consolidated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(c)Per Share Information</w:t>
      </w:r>
    </w:p>
    <w:p>
      <w:pPr>
        <w:spacing w:after="0" w:line="207" w:lineRule="exact"/>
        <w:rPr>
          <w:sz w:val="20"/>
          <w:szCs w:val="20"/>
          <w:color w:val="auto"/>
        </w:rPr>
      </w:pPr>
    </w:p>
    <w:p>
      <w:pPr>
        <w:jc w:val="both"/>
        <w:ind w:left="300" w:right="1879"/>
        <w:spacing w:after="0" w:line="236" w:lineRule="auto"/>
        <w:rPr>
          <w:sz w:val="20"/>
          <w:szCs w:val="20"/>
          <w:color w:val="auto"/>
        </w:rPr>
      </w:pPr>
      <w:r>
        <w:rPr>
          <w:rFonts w:ascii="Courier New" w:cs="Courier New" w:eastAsia="Courier New" w:hAnsi="Courier New"/>
          <w:sz w:val="18"/>
          <w:szCs w:val="18"/>
          <w:color w:val="auto"/>
        </w:rPr>
        <w:t>Earnings per common and common equivalent share are computed on the basis of the weighted average number of common shares outstanding, plus to the extent applicable, common stock equivalents.</w:t>
      </w:r>
    </w:p>
    <w:p>
      <w:pPr>
        <w:spacing w:after="0" w:line="209" w:lineRule="exact"/>
        <w:rPr>
          <w:sz w:val="20"/>
          <w:szCs w:val="20"/>
          <w:color w:val="auto"/>
        </w:rPr>
      </w:pPr>
    </w:p>
    <w:p>
      <w:pPr>
        <w:ind w:left="300" w:right="1999"/>
        <w:spacing w:after="0" w:line="237" w:lineRule="auto"/>
        <w:rPr>
          <w:sz w:val="20"/>
          <w:szCs w:val="20"/>
          <w:color w:val="auto"/>
        </w:rPr>
      </w:pPr>
      <w:r>
        <w:rPr>
          <w:rFonts w:ascii="Courier New" w:cs="Courier New" w:eastAsia="Courier New" w:hAnsi="Courier New"/>
          <w:sz w:val="18"/>
          <w:szCs w:val="18"/>
          <w:color w:val="auto"/>
        </w:rPr>
        <w:t>The effect of the convertible subordinated notes was antidilutive for the quarter and six months ended December 24,1995. Accordingly, fully diluted earnings per share for these periods has been reported consistent with the primary earnings per share results.</w:t>
      </w:r>
    </w:p>
    <w:p>
      <w:pPr>
        <w:sectPr>
          <w:pgSz w:w="11900" w:h="16838" w:orient="portrait"/>
          <w:cols w:equalWidth="0" w:num="1">
            <w:col w:w="10099"/>
          </w:cols>
          <w:pgMar w:left="360" w:top="11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Computation of average shares outstanding (in 000's):</w:t>
      </w:r>
    </w:p>
    <w:p>
      <w:pPr>
        <w:spacing w:after="0" w:line="201"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Quarters</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Ended</w:t>
            </w:r>
          </w:p>
        </w:tc>
        <w:tc>
          <w:tcPr>
            <w:tcW w:w="21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32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Dec. 24,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 25,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 24,</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 25,</w:t>
            </w:r>
          </w:p>
        </w:tc>
      </w:tr>
      <w:tr>
        <w:trPr>
          <w:trHeight w:val="203"/>
        </w:trPr>
        <w:tc>
          <w:tcPr>
            <w:tcW w:w="3320" w:type="dxa"/>
            <w:vAlign w:val="bottom"/>
          </w:tcPr>
          <w:p>
            <w:pPr>
              <w:spacing w:after="0"/>
              <w:rPr>
                <w:sz w:val="17"/>
                <w:szCs w:val="17"/>
                <w:color w:val="auto"/>
              </w:rPr>
            </w:pP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Outstanding</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66,279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69,706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66,582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70,077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  Dilutive Options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439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Average Shares</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66,718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70,216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67,045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70,584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Incremental Shares Arising from</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Full Dilution Assumption</w:t>
            </w:r>
          </w:p>
        </w:tc>
        <w:tc>
          <w:tcPr>
            <w:tcW w:w="1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7,754</w:t>
            </w:r>
          </w:p>
        </w:tc>
        <w:tc>
          <w:tcPr>
            <w:tcW w:w="10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7,753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Shares Assuming</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Full Dilution</w:t>
            </w:r>
          </w:p>
        </w:tc>
        <w:tc>
          <w:tcPr>
            <w:tcW w:w="1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77,970</w:t>
            </w:r>
          </w:p>
        </w:tc>
        <w:tc>
          <w:tcPr>
            <w:tcW w:w="10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78,337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Computation of net income for per share data (in 000's):</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Quarters</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Ended</w:t>
            </w:r>
          </w:p>
        </w:tc>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1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Dec. 24,</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Dec. 25,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 24,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25,</w:t>
            </w:r>
          </w:p>
        </w:tc>
      </w:tr>
      <w:tr>
        <w:trPr>
          <w:trHeight w:val="203"/>
        </w:trPr>
        <w:tc>
          <w:tcPr>
            <w:tcW w:w="3160" w:type="dxa"/>
            <w:vAlign w:val="bottom"/>
          </w:tcPr>
          <w:p>
            <w:pPr>
              <w:spacing w:after="0"/>
              <w:rPr>
                <w:sz w:val="17"/>
                <w:szCs w:val="17"/>
                <w:color w:val="auto"/>
              </w:rPr>
            </w:pP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 Primary</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$24,118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$28,120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$30,885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$50,809</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Add: Convertible Subordinated</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Net of Tax</w:t>
            </w:r>
          </w:p>
        </w:tc>
        <w:tc>
          <w:tcPr>
            <w:tcW w:w="1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2,168</w:t>
            </w:r>
          </w:p>
        </w:tc>
        <w:tc>
          <w:tcPr>
            <w:tcW w:w="10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4,337</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Assuming Full</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Dilution</w:t>
            </w:r>
          </w:p>
        </w:tc>
        <w:tc>
          <w:tcPr>
            <w:tcW w:w="1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$30,288</w:t>
            </w:r>
          </w:p>
        </w:tc>
        <w:tc>
          <w:tcPr>
            <w:tcW w:w="10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$55,146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(d)Common Stock</w:t>
      </w:r>
    </w:p>
    <w:p>
      <w:pPr>
        <w:spacing w:after="0" w:line="207" w:lineRule="exact"/>
        <w:rPr>
          <w:sz w:val="20"/>
          <w:szCs w:val="20"/>
          <w:color w:val="auto"/>
        </w:rPr>
      </w:pPr>
    </w:p>
    <w:p>
      <w:pPr>
        <w:ind w:left="300" w:right="1879"/>
        <w:spacing w:after="0" w:line="236" w:lineRule="auto"/>
        <w:rPr>
          <w:sz w:val="20"/>
          <w:szCs w:val="20"/>
          <w:color w:val="auto"/>
        </w:rPr>
      </w:pPr>
      <w:r>
        <w:rPr>
          <w:rFonts w:ascii="Courier New" w:cs="Courier New" w:eastAsia="Courier New" w:hAnsi="Courier New"/>
          <w:sz w:val="18"/>
          <w:szCs w:val="18"/>
          <w:color w:val="auto"/>
        </w:rPr>
        <w:t>On January 18, 1996 the Company's Board of Directors declared a cash dividend of 13 cents per share payable on February 9, 1996 to shareholders of record on February 2,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(e)Non-Recurring Charge</w:t>
      </w:r>
    </w:p>
    <w:p>
      <w:pPr>
        <w:spacing w:after="0" w:line="207" w:lineRule="exact"/>
        <w:rPr>
          <w:sz w:val="20"/>
          <w:szCs w:val="20"/>
          <w:color w:val="auto"/>
        </w:rPr>
      </w:pPr>
    </w:p>
    <w:p>
      <w:pPr>
        <w:jc w:val="both"/>
        <w:ind w:left="300" w:right="1879"/>
        <w:spacing w:after="0" w:line="238" w:lineRule="auto"/>
        <w:rPr>
          <w:sz w:val="20"/>
          <w:szCs w:val="20"/>
          <w:color w:val="auto"/>
        </w:rPr>
      </w:pPr>
      <w:r>
        <w:rPr>
          <w:rFonts w:ascii="Courier New" w:cs="Courier New" w:eastAsia="Courier New" w:hAnsi="Courier New"/>
          <w:sz w:val="18"/>
          <w:szCs w:val="18"/>
          <w:color w:val="auto"/>
        </w:rPr>
        <w:t>As disclosed in the Company's 10-K for the year ended June 25, 1995 the Company announced on September 18, 1995 restructuring plans to further reduce the Company's cost structure and improve productivity through the consolidation of certain manufacturing operations and the disposition of underutilized assets. The restructuring plan focused on the consolidation of production facilities acquired via mergers during the preceding four years and reflects the Company's continued efforts to streamline operations. As part of the restructuring action, the Company closed its spun cotton manufacturing facilities in Edenton and Mount Pleasant, North Carolina on November 17, 1995 with the majority of the manufacturing production being transferred to other facilities. Approximately 275 jobs, primarily wage-level positions, were affected.</w:t>
      </w:r>
    </w:p>
    <w:p>
      <w:pPr>
        <w:spacing w:after="0" w:line="207" w:lineRule="exact"/>
        <w:rPr>
          <w:sz w:val="20"/>
          <w:szCs w:val="20"/>
          <w:color w:val="auto"/>
        </w:rPr>
      </w:pPr>
    </w:p>
    <w:p>
      <w:pPr>
        <w:jc w:val="both"/>
        <w:ind w:left="300" w:right="1879"/>
        <w:spacing w:after="0" w:line="237" w:lineRule="auto"/>
        <w:rPr>
          <w:sz w:val="20"/>
          <w:szCs w:val="20"/>
          <w:color w:val="auto"/>
        </w:rPr>
      </w:pPr>
      <w:r>
        <w:rPr>
          <w:rFonts w:ascii="Courier New" w:cs="Courier New" w:eastAsia="Courier New" w:hAnsi="Courier New"/>
          <w:sz w:val="18"/>
          <w:szCs w:val="18"/>
          <w:color w:val="auto"/>
        </w:rPr>
        <w:t>The estimated cost of restructuring resulted in a first quarter fiscal 1996 non-recurring charge to earnings of $23.8 million or an after-tax charge to earnings of $14.9 million ($.22 per share). The significant components of the non-recurring charge included $2.4 million of severance and other employee-related costs from the termination of employees and a $21.4 million write-down to estimated fair value less the cost of disposal of underutilized assets and consolidated facilities to be disposed. Costs associated with the relocation of equipment or personnel are being expensed as incurred.</w:t>
      </w:r>
    </w:p>
    <w:p>
      <w:pPr>
        <w:spacing w:after="0" w:line="214" w:lineRule="exact"/>
        <w:rPr>
          <w:sz w:val="20"/>
          <w:szCs w:val="20"/>
          <w:color w:val="auto"/>
        </w:rPr>
      </w:pPr>
    </w:p>
    <w:p>
      <w:pPr>
        <w:jc w:val="both"/>
        <w:ind w:left="300" w:right="1879"/>
        <w:spacing w:after="0" w:line="273" w:lineRule="auto"/>
        <w:rPr>
          <w:sz w:val="20"/>
          <w:szCs w:val="20"/>
          <w:color w:val="auto"/>
        </w:rPr>
      </w:pPr>
      <w:r>
        <w:rPr>
          <w:rFonts w:ascii="Courier New" w:cs="Courier New" w:eastAsia="Courier New" w:hAnsi="Courier New"/>
          <w:sz w:val="16"/>
          <w:szCs w:val="16"/>
          <w:color w:val="auto"/>
        </w:rPr>
        <w:t>In connection with the plan of restructuring and corporate consolidation, the Company has incurred as of December 24, 1995 severance and other employee-related costs of $1.7 million. Additionally, the Company has charged against the reserve costs associated with the plant closures of $.4 million and losses incurred from the disposal of assets of $3.0 million.</w:t>
      </w:r>
    </w:p>
    <w:p>
      <w:pPr>
        <w:spacing w:after="0" w:line="179" w:lineRule="exact"/>
        <w:rPr>
          <w:sz w:val="20"/>
          <w:szCs w:val="20"/>
          <w:color w:val="auto"/>
        </w:rPr>
      </w:pPr>
    </w:p>
    <w:p>
      <w:pPr>
        <w:ind w:left="300"/>
        <w:spacing w:after="0"/>
        <w:tabs>
          <w:tab w:leader="none" w:pos="3880" w:val="left"/>
          <w:tab w:leader="none" w:pos="6820" w:val="left"/>
        </w:tabs>
        <w:rPr>
          <w:sz w:val="20"/>
          <w:szCs w:val="20"/>
          <w:color w:val="auto"/>
        </w:rPr>
      </w:pPr>
      <w:r>
        <w:rPr>
          <w:rFonts w:ascii="Courier New" w:cs="Courier New" w:eastAsia="Courier New" w:hAnsi="Courier New"/>
          <w:sz w:val="18"/>
          <w:szCs w:val="18"/>
          <w:color w:val="auto"/>
        </w:rPr>
        <w:t>The Company anticipates that all</w:t>
        <w:tab/>
        <w:t>significant aspects of the</w:t>
      </w:r>
      <w:r>
        <w:rPr>
          <w:sz w:val="20"/>
          <w:szCs w:val="20"/>
          <w:color w:val="auto"/>
        </w:rPr>
        <w:tab/>
      </w:r>
      <w:r>
        <w:rPr>
          <w:rFonts w:ascii="Courier New" w:cs="Courier New" w:eastAsia="Courier New" w:hAnsi="Courier New"/>
          <w:sz w:val="16"/>
          <w:szCs w:val="16"/>
          <w:color w:val="auto"/>
        </w:rPr>
        <w:t>consolidation</w:t>
      </w:r>
    </w:p>
    <w:p>
      <w:pPr>
        <w:spacing w:after="0" w:line="4" w:lineRule="exact"/>
        <w:rPr>
          <w:sz w:val="20"/>
          <w:szCs w:val="20"/>
          <w:color w:val="auto"/>
        </w:rPr>
      </w:pPr>
    </w:p>
    <w:p>
      <w:pPr>
        <w:jc w:val="both"/>
        <w:ind w:left="300" w:right="1879"/>
        <w:spacing w:after="0" w:line="237" w:lineRule="auto"/>
        <w:rPr>
          <w:sz w:val="20"/>
          <w:szCs w:val="20"/>
          <w:color w:val="auto"/>
        </w:rPr>
      </w:pPr>
      <w:r>
        <w:rPr>
          <w:rFonts w:ascii="Courier New" w:cs="Courier New" w:eastAsia="Courier New" w:hAnsi="Courier New"/>
          <w:sz w:val="18"/>
          <w:szCs w:val="18"/>
          <w:color w:val="auto"/>
        </w:rPr>
        <w:t>plan will be accomplished by September 1996. However, the ultimate disposal of equipment and facilities may take longer due to current market conditions and the physical locations of the properties. The balance sheet at December 24, 1995, reflects primarily in property, plant and equipment, the net book value of the remaining assets to be disposed amounting to approximately $23.6 million for which net recoveries of $5.6 million are expected.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(f)Accounting for Long-Lived Assets</w:t>
      </w:r>
    </w:p>
    <w:p>
      <w:pPr>
        <w:spacing w:after="0" w:line="207" w:lineRule="exact"/>
        <w:rPr>
          <w:sz w:val="20"/>
          <w:szCs w:val="20"/>
          <w:color w:val="auto"/>
        </w:rPr>
      </w:pPr>
    </w:p>
    <w:p>
      <w:pPr>
        <w:jc w:val="both"/>
        <w:ind w:left="300" w:right="1879"/>
        <w:spacing w:after="0" w:line="236" w:lineRule="auto"/>
        <w:rPr>
          <w:sz w:val="20"/>
          <w:szCs w:val="20"/>
          <w:color w:val="auto"/>
        </w:rPr>
      </w:pPr>
      <w:r>
        <w:rPr>
          <w:rFonts w:ascii="Courier New" w:cs="Courier New" w:eastAsia="Courier New" w:hAnsi="Courier New"/>
          <w:sz w:val="18"/>
          <w:szCs w:val="18"/>
          <w:color w:val="auto"/>
        </w:rPr>
        <w:t>In March 1995, the FASB issued Statement No. 121, Accounting for the Impairment of Long -Lived Assets and for Long-Lived Assets to be Disposed Of, (SFAS 121), which requires impairment losses to be recorded on long-</w:t>
      </w:r>
    </w:p>
    <w:p>
      <w:pPr>
        <w:sectPr>
          <w:pgSz w:w="11900" w:h="16838" w:orient="portrait"/>
          <w:cols w:equalWidth="0" w:num="1">
            <w:col w:w="10099"/>
          </w:cols>
          <w:pgMar w:left="360" w:top="919" w:right="1440" w:bottom="0" w:gutter="0" w:footer="0" w:header="0"/>
        </w:sectPr>
      </w:pPr>
    </w:p>
    <w:bookmarkStart w:id="6" w:name="page7"/>
    <w:bookmarkEnd w:id="6"/>
    <w:p>
      <w:pPr>
        <w:jc w:val="both"/>
        <w:ind w:left="300" w:right="1879"/>
        <w:spacing w:after="0" w:line="271" w:lineRule="auto"/>
        <w:rPr>
          <w:sz w:val="20"/>
          <w:szCs w:val="20"/>
          <w:color w:val="auto"/>
        </w:rPr>
      </w:pPr>
      <w:r>
        <w:rPr>
          <w:rFonts w:ascii="Courier New" w:cs="Courier New" w:eastAsia="Courier New" w:hAnsi="Courier New"/>
          <w:sz w:val="16"/>
          <w:szCs w:val="16"/>
          <w:color w:val="auto"/>
        </w:rPr>
        <w:t>lived assets used in operations when indicators of impairment are present and the undiscounted cash flows estimated to be generated by those assets are less than the assets' carrying amount. SFAS 121 also addresses the accounting for long-lived assets that are expected to be disposed of. The Company adopted SFAS 121 in the first quarter of 1996. There was no cumulative effect on the financial statements from the initial adoption of SFAS 121; however, the accounting principles described in this statement were utilized in estimating the non-recurring charge discussed in Note (e).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(g)Nylon Machinery Purchase</w:t>
      </w:r>
    </w:p>
    <w:p>
      <w:pPr>
        <w:spacing w:after="0" w:line="207" w:lineRule="exact"/>
        <w:rPr>
          <w:sz w:val="20"/>
          <w:szCs w:val="20"/>
          <w:color w:val="auto"/>
        </w:rPr>
      </w:pPr>
    </w:p>
    <w:p>
      <w:pPr>
        <w:jc w:val="both"/>
        <w:ind w:left="300" w:right="1879"/>
        <w:spacing w:after="0" w:line="237" w:lineRule="auto"/>
        <w:rPr>
          <w:sz w:val="20"/>
          <w:szCs w:val="20"/>
          <w:color w:val="auto"/>
        </w:rPr>
      </w:pPr>
      <w:r>
        <w:rPr>
          <w:rFonts w:ascii="Courier New" w:cs="Courier New" w:eastAsia="Courier New" w:hAnsi="Courier New"/>
          <w:sz w:val="18"/>
          <w:szCs w:val="18"/>
          <w:color w:val="auto"/>
        </w:rPr>
        <w:t>The acquisition of the Norlina Division of Glen Raven Mills, Inc., announced on October 2, 1995, was consummated on November 17, 1995. The acquisition, which is not deemed significant to the Company's consolidated net assets or the results of operations, has been accounted for as a purchase and accordingly, the net assets and operations have been included in the Company's consolidated financial statements beginning on the date the acquisition was consummated. The purchase price was allocated to the net assets acquired with the excess of cost over fair value of the net assets acquired being approximately $28 million. The excess of cost over fair value of net assets acquired is being amortized on a straight-line basis over 15 years.</w:t>
      </w:r>
    </w:p>
    <w:p>
      <w:pPr>
        <w:sectPr>
          <w:pgSz w:w="11900" w:h="16838" w:orient="portrait"/>
          <w:cols w:equalWidth="0" w:num="1">
            <w:col w:w="10099"/>
          </w:cols>
          <w:pgMar w:left="360" w:top="142" w:right="1440" w:bottom="1440" w:gutter="0" w:footer="0" w:header="0"/>
        </w:sectPr>
      </w:pPr>
    </w:p>
    <w:bookmarkStart w:id="7" w:name="page8"/>
    <w:bookmarkEnd w:id="7"/>
    <w:p>
      <w:pPr>
        <w:jc w:val="center"/>
        <w:ind w:right="189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following is Management's discussion and analysis of certain significant factors that have affected the Company's operations and material changes in financial condition during the periods included in the accompanying Condensed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Consolidated net sales increased 3.7% to $401.4 million in the second quarter of fiscal 1996 and for the six month period, sales increased 5.7% to $788.8 million. The increases in net sales were achieved despite volume decreases of 5.4% for the quarter and 2.1% for the year-to-date over the corresponding prior year periods. The decreases are reflective of an overall softness in virtually all textile and apparel markets served by the Company. To offset the volume declines and increased costs of raw materials and manufacturing, the Company has increased its average unit sales price, based on overall product mix, 9.5% for the quarter and 7.9% for the year -to-date period compared to the corresponding periods of the prior fiscal year.</w:t>
      </w:r>
    </w:p>
    <w:p>
      <w:pPr>
        <w:spacing w:after="0" w:line="386"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Consistent with the results of consolidated operations, the U.S. operations experienced modest gains in sales dollars of 1.0% and 3.0% for the quarter and year-to-date periods. The U.S. operations continued to see the weakness at the retail level translate into reduced unit demand for our polyester and spun yarn products, while our nylon product volume remained level. The average unit sales price in all three product lines has increased during the quarter and year-to-date periods in response to higher raw material, packaging and manufacturing costs. The effect of the acquisition of the Norlina Division of Glen Raven Mills on November 17, 1995 did not significantly impact the net sales of the nylon operations.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Irish operations have experienced volume increases of 37.0% and 39.3% for the quarter and year-to-date periods, respectively, when compared to the corresponding periods of the prior year. Average selling prices, based on overall product mix have increased for both periods in the current year to partially offset the effects of higher raw material costs. The increased volume results from the addition of 20 new polyester texturing machines.</w:t>
      </w:r>
    </w:p>
    <w:p>
      <w:pPr>
        <w:spacing w:after="0" w:line="210"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Cost of goods sold as a percentage of net sales for the quarter increased from 85.8% last year to 87.7% this year. For the respective year-to-date periods, cost of goods sold as a percentage of net sales has increased from 86.1% to 88.1%. The increase in cost of sales as a percentage of net sales is attributable to the increase in average selling prices only partially offsetting the effects of reduced unit volume and increases in raw material, packaging, and manufacturing costs.</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Selling, general and administrative expenses as a percentage of net sales increased from 2.7% in the prior year quarter to 2.8% in the current quarter. Our year-to-date results as a percentage of net sales have remained stable at 2.7%. Selling, general and administrative expenses increased $1.1 million in the current quarter to $11.4 million and $1.5 million to $21.5 million for the six months year-to-date. These increases primarily reflect our ongoing efforts to enhance our information systems to improve the operating performance throughout the Company and the level of service to our customers.</w:t>
      </w:r>
    </w:p>
    <w:p>
      <w:pPr>
        <w:spacing w:after="0" w:line="186"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Interest expense decreased $.2 million to $3.8 million in the current quarter and $.4 million to $7.4 million for the year-to-date period. Interest income has decreased from $2.4 million in last year's second quarter to $2.0 million in the current quarter. For the six month period, interest income has decreased from $5.1 million to $4.6 million in the current period. The decline in interest income for the quarter and year-to-date periods reflects lower levels of invested funds.</w:t>
      </w:r>
    </w:p>
    <w:p>
      <w:pPr>
        <w:spacing w:after="0" w:line="211"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Other income, net decreased $1.0 million to $1.3 million in the current quarter and $1.1 million to $1.7 million for the year-to-date period.</w:t>
      </w:r>
    </w:p>
    <w:p>
      <w:pPr>
        <w:spacing w:after="0" w:line="208" w:lineRule="exact"/>
        <w:rPr>
          <w:sz w:val="20"/>
          <w:szCs w:val="20"/>
          <w:color w:val="auto"/>
        </w:rPr>
      </w:pPr>
    </w:p>
    <w:p>
      <w:pPr>
        <w:jc w:val="both"/>
        <w:ind w:right="1879"/>
        <w:spacing w:after="0" w:line="270" w:lineRule="auto"/>
        <w:rPr>
          <w:sz w:val="20"/>
          <w:szCs w:val="20"/>
          <w:color w:val="auto"/>
        </w:rPr>
      </w:pPr>
      <w:r>
        <w:rPr>
          <w:rFonts w:ascii="Courier New" w:cs="Courier New" w:eastAsia="Courier New" w:hAnsi="Courier New"/>
          <w:sz w:val="16"/>
          <w:szCs w:val="16"/>
          <w:color w:val="auto"/>
        </w:rPr>
        <w:t>As disclosed in Note (e) in this Form 10-Q, the Company recorded in its quarter ended September 24, 1995 a non-recurring charge of $23.8 million, or an after-tax charge to earnings of $14.9 million ($.22 per share). The significant components of the non-recurring charge include $2.4 million of severance and other employee-related costs and a $21.4 million write-down to estimated fair value less the cost of disposal for underutilized assets. This charge resulted from the plan to restructure and further reduce the Company's cost structure and improve productivity through the consolidation of certain manufacturing facilities and the disposition of underutilized assets. As part of the restructuring plan the Company has closed effective November 17, 1995 the spun yarn manufacturing facilities in Edenton and Mount</w:t>
      </w:r>
    </w:p>
    <w:p>
      <w:pPr>
        <w:sectPr>
          <w:pgSz w:w="11900" w:h="16838" w:orient="portrait"/>
          <w:cols w:equalWidth="0" w:num="1">
            <w:col w:w="9999"/>
          </w:cols>
          <w:pgMar w:left="460" w:top="717"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Pleasant, North Carolina.</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effective tax rate has decreased from 38.3% to 35.4% in the current quarter and has decreased from 39.2% to 35.3% for the year-to-date period. The lower rates in the current periods are primarily due to the pretax earnings of foreign subsidiaries, which are taxed at rates lower than U.S. rates, representing a larger contribution of total consolidated pre-tax income. Additionally, the Company will realize the benefit of certain increased tax credits during fiscal 1996.</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result of the above, the Company realized during the current quarter net income of $24.1 million, or $.36 per primary share compared to $28.1 million, or $.40 per primary share during the corresponding quarter of the prior year. Net income and primary earnings per share for the current six month year-to-date period amounted to $30.9 million, or $.46 per share compared to corresponding totals in the prior year -to-date period of $50.8 million, or $.72 per share. Before the effects of the non-recurring charge to earnings during the current six month year-to-date, the Company had income of $45.8 million or $.68 per share.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We ended the current quarter with working capital of $250.6 million which included cash and short-term investments of $80.6 million. Cash and short-term investments have decreased $65.6 million since June 25, 1995 resulting primarily from the utilization of existing cash to fund the costs of acquisitions and capital expansions.</w:t>
      </w:r>
    </w:p>
    <w:p>
      <w:pPr>
        <w:spacing w:after="0" w:line="209"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Our primary source of cash and cash equivalents continues to be generated from operating activities. Cash generated from operations increased to $86.7 million for the six month period ended December 24, 1995 compared to $64.3 million for the corresponding period of the prior year. This improvement was achieved despite a decrease in net income through the improved management of working capital and adjustments for non-cash items including depreciation and amortization, which increased $5.1 million during the current six month year-to-date period, and the non-recurring charge of $23.8 million.</w:t>
      </w:r>
    </w:p>
    <w:p>
      <w:pPr>
        <w:spacing w:after="0" w:line="186"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The Company utilized $75.7 million and $54.5 million for net investing and financing activities, respectively, during the six months ended</w:t>
      </w:r>
    </w:p>
    <w:p>
      <w:pPr>
        <w:spacing w:after="0" w:line="6"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December 24, 1995. These net investing and financing activities were primarily comprised of $35.0 million generated from the sale of short-term investments offset by $110.8 million used for capacity expansions, upgrades and acquisitions, $17.3 million for the payment of the Company's cash dividends and $37.2 million for the purchase and retirement of Company common stock.</w:t>
      </w:r>
    </w:p>
    <w:p>
      <w:pPr>
        <w:spacing w:after="0" w:line="210"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On October 21, 1993, the Board of Directors authorized Management to repurchase up to 15 million shares of Unifi's common stock from time to time at such prices as Management feels advisable and in the best interest of the Company. Approximately 5.0 million shares have been repurchased as of December 24, 1995, pursuant to this Board authorization.</w:t>
      </w:r>
    </w:p>
    <w:p>
      <w:pPr>
        <w:spacing w:after="0" w:line="20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At December 24, 1995, the Company has committed approximately $93.6 million for the purchase and upgrade of equipment and facilities, which is scheduled to be expended during the remainder of fiscal years 1996 and fiscal years 1997 and 1998. A significant component of these committed funds as well as a major component of year-to-date capital expenditures is the continuing construction of a highly automated, state-of-the-art texturing facility in</w:t>
      </w:r>
    </w:p>
    <w:p>
      <w:pPr>
        <w:spacing w:after="0" w:line="1"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Yadkinville, North Carolina. We have reached the initial phases of production in this texturing facility which is scheduled for completion in December 1996.</w:t>
      </w: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Management believes the current financial position of the Company in connection with its operations and its access to debt and equity markets are sufficient to meet anticipated capital expenditure, strategic acquisition, working capital and other financial needs.</w:t>
      </w:r>
    </w:p>
    <w:p>
      <w:pPr>
        <w:sectPr>
          <w:pgSz w:w="11900" w:h="16838" w:orient="portrait"/>
          <w:cols w:equalWidth="0" w:num="1">
            <w:col w:w="9999"/>
          </w:cols>
          <w:pgMar w:left="460" w:top="13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UNIFI,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jc w:val="both"/>
        <w:ind w:left="860" w:right="1879"/>
        <w:spacing w:after="0" w:line="236" w:lineRule="auto"/>
        <w:rPr>
          <w:sz w:val="20"/>
          <w:szCs w:val="20"/>
          <w:color w:val="auto"/>
        </w:rPr>
      </w:pPr>
      <w:r>
        <w:rPr>
          <w:rFonts w:ascii="Courier New" w:cs="Courier New" w:eastAsia="Courier New" w:hAnsi="Courier New"/>
          <w:sz w:val="18"/>
          <w:szCs w:val="18"/>
          <w:color w:val="auto"/>
        </w:rPr>
        <w:t>The Shareholders of the Company at their Annual Meeting held on the 19th day of October, 1995, considered and voted upon the elections of four (4) Class 1 Directors of the Company.</w:t>
      </w:r>
    </w:p>
    <w:p>
      <w:pPr>
        <w:spacing w:after="0" w:line="209" w:lineRule="exact"/>
        <w:rPr>
          <w:sz w:val="20"/>
          <w:szCs w:val="20"/>
          <w:color w:val="auto"/>
        </w:rPr>
      </w:pPr>
    </w:p>
    <w:p>
      <w:pPr>
        <w:jc w:val="both"/>
        <w:ind w:left="860" w:right="1879"/>
        <w:spacing w:after="0" w:line="279" w:lineRule="auto"/>
        <w:rPr>
          <w:sz w:val="20"/>
          <w:szCs w:val="20"/>
          <w:color w:val="auto"/>
        </w:rPr>
      </w:pPr>
      <w:r>
        <w:rPr>
          <w:rFonts w:ascii="Courier New" w:cs="Courier New" w:eastAsia="Courier New" w:hAnsi="Courier New"/>
          <w:sz w:val="16"/>
          <w:szCs w:val="16"/>
          <w:color w:val="auto"/>
        </w:rPr>
        <w:t>The Shareholders elected management's nominees for the four (4) Class 1 Directors to serve until the Annual Meeting of the Shareholders in 1998, or until their successors are elected and qualified, as follows:</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Votes in</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Votes</w:t>
            </w:r>
          </w:p>
        </w:tc>
        <w:tc>
          <w:tcPr>
            <w:tcW w:w="128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Names</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Directors</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Favor</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Against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Abstaining</w:t>
            </w:r>
          </w:p>
        </w:tc>
      </w:tr>
      <w:tr>
        <w:trPr>
          <w:trHeight w:val="405"/>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Donald F.</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Orr</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55,451,604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456,300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Timotheus</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 Pohl</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55,426,536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481,368</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Robert A.</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Ward</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55,430,349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477,555</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G. Alfred</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Webster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55,430,349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476,955</w:t>
            </w:r>
          </w:p>
        </w:tc>
      </w:tr>
    </w:tbl>
    <w:p>
      <w:pPr>
        <w:spacing w:after="0" w:line="207"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The information set forth under the heading ``Election of Directors'' on pages 2-5 of the Definitive Proxy Statement was filed with the Commission since the close of the registrant's fiscal year ending June 25, 1995, and is incorporated herein by reference.</w:t>
      </w:r>
    </w:p>
    <w:p>
      <w:pPr>
        <w:spacing w:after="0" w:line="207" w:lineRule="exact"/>
        <w:rPr>
          <w:sz w:val="20"/>
          <w:szCs w:val="20"/>
          <w:color w:val="auto"/>
        </w:rPr>
      </w:pPr>
    </w:p>
    <w:p>
      <w:pPr>
        <w:jc w:val="both"/>
        <w:ind w:left="860" w:right="1879"/>
        <w:spacing w:after="0" w:line="237" w:lineRule="auto"/>
        <w:rPr>
          <w:sz w:val="20"/>
          <w:szCs w:val="20"/>
          <w:color w:val="auto"/>
        </w:rPr>
      </w:pPr>
      <w:r>
        <w:rPr>
          <w:rFonts w:ascii="Courier New" w:cs="Courier New" w:eastAsia="Courier New" w:hAnsi="Courier New"/>
          <w:sz w:val="18"/>
          <w:szCs w:val="18"/>
          <w:color w:val="auto"/>
        </w:rPr>
        <w:t>The Shareholders at their Annual Meetings in 1993 elected as Class 2 Directors and in 1994 elected as Class 3 Directors to serve until the Annual Meeting of the Shareholders in 1996 and 1997 respectively, or until their successors are elected and qualified, the following persons:</w:t>
      </w:r>
    </w:p>
    <w:p>
      <w:pPr>
        <w:sectPr>
          <w:pgSz w:w="11900" w:h="16838" w:orient="portrait"/>
          <w:cols w:equalWidth="0" w:num="1">
            <w:col w:w="10219"/>
          </w:cols>
          <w:pgMar w:left="240" w:top="514" w:right="1440" w:bottom="1440" w:gutter="0" w:footer="0" w:header="0"/>
        </w:sectPr>
      </w:pPr>
    </w:p>
    <w:p>
      <w:pPr>
        <w:spacing w:after="0" w:line="209"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Class 2</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 3</w:t>
      </w:r>
    </w:p>
    <w:p>
      <w:pPr>
        <w:spacing w:after="0" w:line="200" w:lineRule="exact"/>
        <w:rPr>
          <w:sz w:val="20"/>
          <w:szCs w:val="20"/>
          <w:color w:val="auto"/>
        </w:rPr>
      </w:pPr>
    </w:p>
    <w:p>
      <w:pPr>
        <w:sectPr>
          <w:pgSz w:w="11900" w:h="16838" w:orient="portrait"/>
          <w:cols w:equalWidth="0" w:num="2">
            <w:col w:w="4880" w:space="720"/>
            <w:col w:w="4619"/>
          </w:cols>
          <w:pgMar w:left="240" w:top="514"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Charles R. Carter</w:t>
      </w:r>
    </w:p>
    <w:p>
      <w:pPr>
        <w:ind w:left="860"/>
        <w:spacing w:after="0" w:line="238" w:lineRule="auto"/>
        <w:rPr>
          <w:sz w:val="20"/>
          <w:szCs w:val="20"/>
          <w:color w:val="auto"/>
        </w:rPr>
      </w:pPr>
      <w:r>
        <w:rPr>
          <w:rFonts w:ascii="Courier New" w:cs="Courier New" w:eastAsia="Courier New" w:hAnsi="Courier New"/>
          <w:sz w:val="18"/>
          <w:szCs w:val="18"/>
          <w:color w:val="auto"/>
        </w:rPr>
        <w:t>Jerry W. Eller</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Kenneth G. Langone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William</w:t>
        <w:tab/>
        <w:t>J. Armfield, IV</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Kretzer</w:t>
      </w:r>
    </w:p>
    <w:p>
      <w:pPr>
        <w:spacing w:after="0" w:line="238" w:lineRule="auto"/>
        <w:rPr>
          <w:sz w:val="20"/>
          <w:szCs w:val="20"/>
          <w:color w:val="auto"/>
        </w:rPr>
      </w:pPr>
      <w:r>
        <w:rPr>
          <w:rFonts w:ascii="Courier New" w:cs="Courier New" w:eastAsia="Courier New" w:hAnsi="Courier New"/>
          <w:sz w:val="18"/>
          <w:szCs w:val="18"/>
          <w:color w:val="auto"/>
        </w:rPr>
        <w:t>G. Allen Mebane</w:t>
      </w:r>
    </w:p>
    <w:p>
      <w:pPr>
        <w:spacing w:after="0"/>
        <w:rPr>
          <w:sz w:val="20"/>
          <w:szCs w:val="20"/>
          <w:color w:val="auto"/>
        </w:rPr>
      </w:pPr>
      <w:r>
        <w:rPr>
          <w:rFonts w:ascii="Courier New" w:cs="Courier New" w:eastAsia="Courier New" w:hAnsi="Courier New"/>
          <w:sz w:val="18"/>
          <w:szCs w:val="18"/>
          <w:color w:val="auto"/>
        </w:rPr>
        <w:t>George R.Perkins,Jr.</w:t>
      </w:r>
    </w:p>
    <w:p>
      <w:pPr>
        <w:sectPr>
          <w:pgSz w:w="11900" w:h="16838" w:orient="portrait"/>
          <w:cols w:equalWidth="0" w:num="2">
            <w:col w:w="4240" w:space="720"/>
            <w:col w:w="5259"/>
          </w:cols>
          <w:pgMar w:left="240" w:top="514" w:right="1440" w:bottom="1440" w:gutter="0" w:footer="0" w:header="0"/>
          <w:type w:val="continuous"/>
        </w:sectPr>
      </w:pPr>
    </w:p>
    <w:bookmarkStart w:id="10" w:name="page11"/>
    <w:bookmarkEnd w:id="10"/>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(27)Financial Data Schedule</w:t>
      </w:r>
    </w:p>
    <w:p>
      <w:pPr>
        <w:spacing w:after="0" w:line="207" w:lineRule="exact"/>
        <w:rPr>
          <w:sz w:val="20"/>
          <w:szCs w:val="20"/>
          <w:color w:val="auto"/>
        </w:rPr>
      </w:pPr>
    </w:p>
    <w:p>
      <w:pPr>
        <w:ind w:left="1060" w:right="1879" w:hanging="429"/>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quarter ended December 24, 1995.</w:t>
      </w:r>
    </w:p>
    <w:p>
      <w:pPr>
        <w:sectPr>
          <w:pgSz w:w="11900" w:h="16838" w:orient="portrait"/>
          <w:cols w:equalWidth="0" w:num="1">
            <w:col w:w="9999"/>
          </w:cols>
          <w:pgMar w:left="460" w:top="717" w:right="1440" w:bottom="1440" w:gutter="0" w:footer="0" w:header="0"/>
        </w:sectPr>
      </w:pPr>
    </w:p>
    <w:bookmarkStart w:id="11" w:name="page12"/>
    <w:bookmarkEnd w:id="11"/>
    <w:p>
      <w:pPr>
        <w:ind w:left="3160"/>
        <w:spacing w:after="0"/>
        <w:rPr>
          <w:sz w:val="20"/>
          <w:szCs w:val="20"/>
          <w:color w:val="auto"/>
        </w:rPr>
      </w:pPr>
      <w:r>
        <w:rPr>
          <w:rFonts w:ascii="Courier New" w:cs="Courier New" w:eastAsia="Courier New" w:hAnsi="Courier New"/>
          <w:sz w:val="18"/>
          <w:szCs w:val="18"/>
          <w:color w:val="auto"/>
        </w:rPr>
        <w:t>UNIFI,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UNIFI,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WILLIS C. MOORE,III</w:t>
      </w:r>
    </w:p>
    <w:p>
      <w:pPr>
        <w:spacing w:after="0"/>
        <w:tabs>
          <w:tab w:leader="none" w:pos="720" w:val="left"/>
          <w:tab w:leader="none" w:pos="4620" w:val="left"/>
        </w:tabs>
        <w:rPr>
          <w:sz w:val="20"/>
          <w:szCs w:val="20"/>
          <w:color w:val="auto"/>
        </w:rPr>
      </w:pPr>
      <w:r>
        <w:rPr>
          <w:rFonts w:ascii="Courier New" w:cs="Courier New" w:eastAsia="Courier New" w:hAnsi="Courier New"/>
          <w:sz w:val="18"/>
          <w:szCs w:val="18"/>
          <w:color w:val="auto"/>
        </w:rPr>
        <w:t>Date:</w:t>
        <w:tab/>
        <w:t>FEBRUARY 6, 1996</w:t>
      </w:r>
      <w:r>
        <w:rPr>
          <w:sz w:val="20"/>
          <w:szCs w:val="20"/>
          <w:color w:val="auto"/>
        </w:rPr>
        <w:tab/>
      </w:r>
      <w:r>
        <w:rPr>
          <w:rFonts w:ascii="Courier New" w:cs="Courier New" w:eastAsia="Courier New" w:hAnsi="Courier New"/>
          <w:sz w:val="16"/>
          <w:szCs w:val="16"/>
          <w:color w:val="auto"/>
        </w:rPr>
        <w:t>Willis C. Moore,III</w:t>
      </w:r>
    </w:p>
    <w:p>
      <w:pPr>
        <w:ind w:left="4640"/>
        <w:spacing w:after="0"/>
        <w:rPr>
          <w:sz w:val="20"/>
          <w:szCs w:val="20"/>
          <w:color w:val="auto"/>
        </w:rPr>
      </w:pPr>
      <w:r>
        <w:rPr>
          <w:rFonts w:ascii="Courier New" w:cs="Courier New" w:eastAsia="Courier New" w:hAnsi="Courier New"/>
          <w:sz w:val="18"/>
          <w:szCs w:val="18"/>
          <w:color w:val="auto"/>
        </w:rPr>
        <w:t>Vice President and Chief</w:t>
      </w:r>
    </w:p>
    <w:p>
      <w:pPr>
        <w:ind w:left="4640"/>
        <w:spacing w:after="0" w:line="237" w:lineRule="auto"/>
        <w:rPr>
          <w:sz w:val="20"/>
          <w:szCs w:val="20"/>
          <w:color w:val="auto"/>
        </w:rPr>
      </w:pPr>
      <w:r>
        <w:rPr>
          <w:rFonts w:ascii="Courier New" w:cs="Courier New" w:eastAsia="Courier New" w:hAnsi="Courier New"/>
          <w:sz w:val="18"/>
          <w:szCs w:val="18"/>
          <w:color w:val="auto"/>
        </w:rPr>
        <w:t>Financial Officer (Mr. Moore is</w:t>
      </w:r>
    </w:p>
    <w:p>
      <w:pPr>
        <w:ind w:left="4640"/>
        <w:spacing w:after="0" w:line="238" w:lineRule="auto"/>
        <w:rPr>
          <w:sz w:val="20"/>
          <w:szCs w:val="20"/>
          <w:color w:val="auto"/>
        </w:rPr>
      </w:pPr>
      <w:r>
        <w:rPr>
          <w:rFonts w:ascii="Courier New" w:cs="Courier New" w:eastAsia="Courier New" w:hAnsi="Courier New"/>
          <w:sz w:val="18"/>
          <w:szCs w:val="18"/>
          <w:color w:val="auto"/>
        </w:rPr>
        <w:t>the Principal Financial and</w:t>
      </w:r>
    </w:p>
    <w:p>
      <w:pPr>
        <w:ind w:left="4640"/>
        <w:spacing w:after="0"/>
        <w:rPr>
          <w:sz w:val="20"/>
          <w:szCs w:val="20"/>
          <w:color w:val="auto"/>
        </w:rPr>
      </w:pPr>
      <w:r>
        <w:rPr>
          <w:rFonts w:ascii="Courier New" w:cs="Courier New" w:eastAsia="Courier New" w:hAnsi="Courier New"/>
          <w:sz w:val="18"/>
          <w:szCs w:val="18"/>
          <w:color w:val="auto"/>
        </w:rPr>
        <w:t>Accounting Officer and has been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duly authorized to sign on behalf</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of the Registrant.)</w:t>
      </w:r>
    </w:p>
    <w:p>
      <w:pPr>
        <w:sectPr>
          <w:pgSz w:w="11900" w:h="16838" w:orient="portrait"/>
          <w:cols w:equalWidth="0" w:num="1">
            <w:col w:w="9999"/>
          </w:cols>
          <w:pgMar w:left="460" w:top="919"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40"/>
        <w:spacing w:after="0"/>
        <w:rPr>
          <w:sz w:val="20"/>
          <w:szCs w:val="20"/>
          <w:color w:val="auto"/>
        </w:rPr>
      </w:pPr>
      <w:r>
        <w:rPr>
          <w:rFonts w:ascii="Courier New" w:cs="Courier New" w:eastAsia="Courier New" w:hAnsi="Courier New"/>
          <w:sz w:val="18"/>
          <w:szCs w:val="18"/>
          <w:color w:val="auto"/>
        </w:rPr>
        <w:t>THIS SCHEDULE CONTAINS SUMMARY FINANCIAL INFORMATION EXTRACTED FROM</w:t>
      </w:r>
    </w:p>
    <w:p>
      <w:pPr>
        <w:spacing w:after="0" w:line="4" w:lineRule="exact"/>
        <w:rPr>
          <w:sz w:val="20"/>
          <w:szCs w:val="20"/>
          <w:color w:val="auto"/>
        </w:rPr>
      </w:pPr>
    </w:p>
    <w:p>
      <w:pPr>
        <w:ind w:left="40" w:right="2379"/>
        <w:spacing w:after="0" w:line="236" w:lineRule="auto"/>
        <w:rPr>
          <w:sz w:val="20"/>
          <w:szCs w:val="20"/>
          <w:color w:val="auto"/>
        </w:rPr>
      </w:pPr>
      <w:r>
        <w:rPr>
          <w:rFonts w:ascii="Courier New" w:cs="Courier New" w:eastAsia="Courier New" w:hAnsi="Courier New"/>
          <w:sz w:val="18"/>
          <w:szCs w:val="18"/>
          <w:color w:val="auto"/>
        </w:rPr>
        <w:t>THE COMPANY'S QUARTERLY REPORT FOR THE SIX MONTH PERIOD ENDED DECEMBER 24, 1995, AND IS QUALIFIED IN ITS ENTIRETY BY REFERENCE TO SUCH FINANCIAL STATEMENTS.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6-MOS</w:t>
      </w:r>
    </w:p>
    <w:p>
      <w:pPr>
        <w:ind w:left="2740"/>
        <w:spacing w:after="0" w:line="238" w:lineRule="auto"/>
        <w:rPr>
          <w:sz w:val="20"/>
          <w:szCs w:val="20"/>
          <w:color w:val="auto"/>
        </w:rPr>
      </w:pPr>
      <w:r>
        <w:rPr>
          <w:rFonts w:ascii="Courier New" w:cs="Courier New" w:eastAsia="Courier New" w:hAnsi="Courier New"/>
          <w:sz w:val="18"/>
          <w:szCs w:val="18"/>
          <w:color w:val="auto"/>
        </w:rPr>
        <w:t>JUN-30-1996</w:t>
      </w:r>
    </w:p>
    <w:p>
      <w:pPr>
        <w:ind w:left="3280"/>
        <w:spacing w:after="0"/>
        <w:rPr>
          <w:sz w:val="20"/>
          <w:szCs w:val="20"/>
          <w:color w:val="auto"/>
        </w:rPr>
      </w:pPr>
      <w:r>
        <w:rPr>
          <w:rFonts w:ascii="Courier New" w:cs="Courier New" w:eastAsia="Courier New" w:hAnsi="Courier New"/>
          <w:sz w:val="18"/>
          <w:szCs w:val="18"/>
          <w:color w:val="auto"/>
        </w:rPr>
        <w:t>DEC-24-1995</w:t>
      </w:r>
    </w:p>
    <w:p>
      <w:pPr>
        <w:ind w:left="4440"/>
        <w:spacing w:after="0" w:line="237" w:lineRule="auto"/>
        <w:rPr>
          <w:sz w:val="20"/>
          <w:szCs w:val="20"/>
          <w:color w:val="auto"/>
        </w:rPr>
      </w:pPr>
      <w:r>
        <w:rPr>
          <w:rFonts w:ascii="Courier New" w:cs="Courier New" w:eastAsia="Courier New" w:hAnsi="Courier New"/>
          <w:sz w:val="18"/>
          <w:szCs w:val="18"/>
          <w:color w:val="auto"/>
        </w:rPr>
        <w:t>16,672</w:t>
      </w:r>
    </w:p>
    <w:p>
      <w:pPr>
        <w:ind w:left="3800"/>
        <w:spacing w:after="0" w:line="238" w:lineRule="auto"/>
        <w:rPr>
          <w:sz w:val="20"/>
          <w:szCs w:val="20"/>
          <w:color w:val="auto"/>
        </w:rPr>
      </w:pPr>
      <w:r>
        <w:rPr>
          <w:rFonts w:ascii="Courier New" w:cs="Courier New" w:eastAsia="Courier New" w:hAnsi="Courier New"/>
          <w:sz w:val="18"/>
          <w:szCs w:val="18"/>
          <w:color w:val="auto"/>
        </w:rPr>
        <w:t>63,891</w:t>
      </w:r>
    </w:p>
    <w:p>
      <w:pPr>
        <w:ind w:left="3580"/>
        <w:spacing w:after="0"/>
        <w:rPr>
          <w:sz w:val="20"/>
          <w:szCs w:val="20"/>
          <w:color w:val="auto"/>
        </w:rPr>
      </w:pPr>
      <w:r>
        <w:rPr>
          <w:rFonts w:ascii="Courier New" w:cs="Courier New" w:eastAsia="Courier New" w:hAnsi="Courier New"/>
          <w:sz w:val="18"/>
          <w:szCs w:val="18"/>
          <w:color w:val="auto"/>
        </w:rPr>
        <w:t>203,612</w:t>
      </w:r>
    </w:p>
    <w:p>
      <w:pPr>
        <w:ind w:left="3900"/>
        <w:spacing w:after="0" w:line="237" w:lineRule="auto"/>
        <w:rPr>
          <w:sz w:val="20"/>
          <w:szCs w:val="20"/>
          <w:color w:val="auto"/>
        </w:rPr>
      </w:pPr>
      <w:r>
        <w:rPr>
          <w:rFonts w:ascii="Courier New" w:cs="Courier New" w:eastAsia="Courier New" w:hAnsi="Courier New"/>
          <w:sz w:val="18"/>
          <w:szCs w:val="18"/>
          <w:color w:val="auto"/>
        </w:rPr>
        <w:t>6,242</w:t>
      </w:r>
    </w:p>
    <w:p>
      <w:pPr>
        <w:ind w:left="3800"/>
        <w:spacing w:after="0"/>
        <w:rPr>
          <w:sz w:val="20"/>
          <w:szCs w:val="20"/>
          <w:color w:val="auto"/>
        </w:rPr>
      </w:pPr>
      <w:r>
        <w:rPr>
          <w:rFonts w:ascii="Courier New" w:cs="Courier New" w:eastAsia="Courier New" w:hAnsi="Courier New"/>
          <w:sz w:val="18"/>
          <w:szCs w:val="18"/>
          <w:color w:val="auto"/>
        </w:rPr>
        <w:t>141,662</w:t>
      </w:r>
    </w:p>
    <w:p>
      <w:pPr>
        <w:ind w:left="3280"/>
        <w:spacing w:after="0" w:line="237" w:lineRule="auto"/>
        <w:rPr>
          <w:sz w:val="20"/>
          <w:szCs w:val="20"/>
          <w:color w:val="auto"/>
        </w:rPr>
      </w:pPr>
      <w:r>
        <w:rPr>
          <w:rFonts w:ascii="Courier New" w:cs="Courier New" w:eastAsia="Courier New" w:hAnsi="Courier New"/>
          <w:sz w:val="18"/>
          <w:szCs w:val="18"/>
          <w:color w:val="auto"/>
        </w:rPr>
        <w:t>422,157</w:t>
      </w:r>
    </w:p>
    <w:p>
      <w:pPr>
        <w:ind w:left="4320"/>
        <w:spacing w:after="0"/>
        <w:rPr>
          <w:sz w:val="20"/>
          <w:szCs w:val="20"/>
          <w:color w:val="auto"/>
        </w:rPr>
      </w:pPr>
      <w:r>
        <w:rPr>
          <w:rFonts w:ascii="Courier New" w:cs="Courier New" w:eastAsia="Courier New" w:hAnsi="Courier New"/>
          <w:sz w:val="18"/>
          <w:szCs w:val="18"/>
          <w:color w:val="auto"/>
        </w:rPr>
        <w:t>980,673</w:t>
      </w:r>
    </w:p>
    <w:p>
      <w:pPr>
        <w:ind w:left="3480"/>
        <w:spacing w:after="0" w:line="237" w:lineRule="auto"/>
        <w:rPr>
          <w:sz w:val="20"/>
          <w:szCs w:val="20"/>
          <w:color w:val="auto"/>
        </w:rPr>
      </w:pPr>
      <w:r>
        <w:rPr>
          <w:rFonts w:ascii="Courier New" w:cs="Courier New" w:eastAsia="Courier New" w:hAnsi="Courier New"/>
          <w:sz w:val="18"/>
          <w:szCs w:val="18"/>
          <w:color w:val="auto"/>
        </w:rPr>
        <w:t>432,797</w:t>
      </w:r>
    </w:p>
    <w:p>
      <w:pPr>
        <w:ind w:left="3280"/>
        <w:spacing w:after="0" w:line="238" w:lineRule="auto"/>
        <w:rPr>
          <w:sz w:val="20"/>
          <w:szCs w:val="20"/>
          <w:color w:val="auto"/>
        </w:rPr>
      </w:pPr>
      <w:r>
        <w:rPr>
          <w:rFonts w:ascii="Courier New" w:cs="Courier New" w:eastAsia="Courier New" w:hAnsi="Courier New"/>
          <w:sz w:val="18"/>
          <w:szCs w:val="18"/>
          <w:color w:val="auto"/>
        </w:rPr>
        <w:t>1,011,140</w:t>
      </w:r>
    </w:p>
    <w:p>
      <w:pPr>
        <w:ind w:left="2740"/>
        <w:spacing w:after="0"/>
        <w:rPr>
          <w:sz w:val="20"/>
          <w:szCs w:val="20"/>
          <w:color w:val="auto"/>
        </w:rPr>
      </w:pPr>
      <w:r>
        <w:rPr>
          <w:rFonts w:ascii="Courier New" w:cs="Courier New" w:eastAsia="Courier New" w:hAnsi="Courier New"/>
          <w:sz w:val="18"/>
          <w:szCs w:val="18"/>
          <w:color w:val="auto"/>
        </w:rPr>
        <w:t>171,559</w:t>
      </w:r>
    </w:p>
    <w:p>
      <w:pPr>
        <w:ind w:left="4220"/>
        <w:spacing w:after="0" w:line="237" w:lineRule="auto"/>
        <w:rPr>
          <w:sz w:val="20"/>
          <w:szCs w:val="20"/>
          <w:color w:val="auto"/>
        </w:rPr>
      </w:pPr>
      <w:r>
        <w:rPr>
          <w:rFonts w:ascii="Courier New" w:cs="Courier New" w:eastAsia="Courier New" w:hAnsi="Courier New"/>
          <w:sz w:val="18"/>
          <w:szCs w:val="18"/>
          <w:color w:val="auto"/>
        </w:rPr>
        <w:t>230,000</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6,560</w:t>
      </w:r>
    </w:p>
    <w:p>
      <w:pPr>
        <w:ind w:left="3900"/>
        <w:spacing w:after="0" w:line="237" w:lineRule="auto"/>
        <w:rPr>
          <w:sz w:val="20"/>
          <w:szCs w:val="20"/>
          <w:color w:val="auto"/>
        </w:rPr>
      </w:pPr>
      <w:r>
        <w:rPr>
          <w:rFonts w:ascii="Courier New" w:cs="Courier New" w:eastAsia="Courier New" w:hAnsi="Courier New"/>
          <w:sz w:val="18"/>
          <w:szCs w:val="18"/>
          <w:color w:val="auto"/>
        </w:rPr>
        <w:t>571,667</w:t>
      </w:r>
    </w:p>
    <w:p>
      <w:pPr>
        <w:ind w:left="1800"/>
        <w:spacing w:after="0" w:line="238" w:lineRule="auto"/>
        <w:rPr>
          <w:sz w:val="20"/>
          <w:szCs w:val="20"/>
          <w:color w:val="auto"/>
        </w:rPr>
      </w:pPr>
      <w:r>
        <w:rPr>
          <w:rFonts w:ascii="Courier New" w:cs="Courier New" w:eastAsia="Courier New" w:hAnsi="Courier New"/>
          <w:sz w:val="18"/>
          <w:szCs w:val="18"/>
          <w:color w:val="auto"/>
        </w:rPr>
        <w:t>1,011,140</w:t>
      </w:r>
    </w:p>
    <w:p>
      <w:pPr>
        <w:ind w:left="4220"/>
        <w:spacing w:after="0"/>
        <w:rPr>
          <w:sz w:val="20"/>
          <w:szCs w:val="20"/>
          <w:color w:val="auto"/>
        </w:rPr>
      </w:pPr>
      <w:r>
        <w:rPr>
          <w:rFonts w:ascii="Courier New" w:cs="Courier New" w:eastAsia="Courier New" w:hAnsi="Courier New"/>
          <w:sz w:val="18"/>
          <w:szCs w:val="18"/>
          <w:color w:val="auto"/>
        </w:rPr>
        <w:t>788,806</w:t>
      </w:r>
    </w:p>
    <w:p>
      <w:pPr>
        <w:ind w:left="3280"/>
        <w:spacing w:after="0" w:line="237" w:lineRule="auto"/>
        <w:rPr>
          <w:sz w:val="20"/>
          <w:szCs w:val="20"/>
          <w:color w:val="auto"/>
        </w:rPr>
      </w:pPr>
      <w:r>
        <w:rPr>
          <w:rFonts w:ascii="Courier New" w:cs="Courier New" w:eastAsia="Courier New" w:hAnsi="Courier New"/>
          <w:sz w:val="18"/>
          <w:szCs w:val="18"/>
          <w:color w:val="auto"/>
        </w:rPr>
        <w:t>788,806</w:t>
      </w:r>
    </w:p>
    <w:p>
      <w:pPr>
        <w:ind w:left="4440"/>
        <w:spacing w:after="0"/>
        <w:rPr>
          <w:sz w:val="20"/>
          <w:szCs w:val="20"/>
          <w:color w:val="auto"/>
        </w:rPr>
      </w:pPr>
      <w:r>
        <w:rPr>
          <w:rFonts w:ascii="Courier New" w:cs="Courier New" w:eastAsia="Courier New" w:hAnsi="Courier New"/>
          <w:sz w:val="18"/>
          <w:szCs w:val="18"/>
          <w:color w:val="auto"/>
        </w:rPr>
        <w:t>694,622</w:t>
      </w:r>
    </w:p>
    <w:p>
      <w:pPr>
        <w:ind w:left="3580"/>
        <w:spacing w:after="0" w:line="237" w:lineRule="auto"/>
        <w:rPr>
          <w:sz w:val="20"/>
          <w:szCs w:val="20"/>
          <w:color w:val="auto"/>
        </w:rPr>
      </w:pPr>
      <w:r>
        <w:rPr>
          <w:rFonts w:ascii="Courier New" w:cs="Courier New" w:eastAsia="Courier New" w:hAnsi="Courier New"/>
          <w:sz w:val="18"/>
          <w:szCs w:val="18"/>
          <w:color w:val="auto"/>
        </w:rPr>
        <w:t>694,622</w:t>
      </w:r>
    </w:p>
    <w:p>
      <w:pPr>
        <w:ind w:left="3380"/>
        <w:spacing w:after="0"/>
        <w:rPr>
          <w:sz w:val="20"/>
          <w:szCs w:val="20"/>
          <w:color w:val="auto"/>
        </w:rPr>
      </w:pPr>
      <w:r>
        <w:rPr>
          <w:rFonts w:ascii="Courier New" w:cs="Courier New" w:eastAsia="Courier New" w:hAnsi="Courier New"/>
          <w:sz w:val="18"/>
          <w:szCs w:val="18"/>
          <w:color w:val="auto"/>
        </w:rPr>
        <w:t>23,826</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rPr>
          <w:sz w:val="20"/>
          <w:szCs w:val="20"/>
          <w:color w:val="auto"/>
        </w:rPr>
      </w:pPr>
      <w:r>
        <w:rPr>
          <w:rFonts w:ascii="Courier New" w:cs="Courier New" w:eastAsia="Courier New" w:hAnsi="Courier New"/>
          <w:sz w:val="18"/>
          <w:szCs w:val="18"/>
          <w:color w:val="auto"/>
        </w:rPr>
        <w:t>7,437</w:t>
      </w:r>
    </w:p>
    <w:p>
      <w:pPr>
        <w:ind w:left="3480"/>
        <w:spacing w:after="0" w:line="237" w:lineRule="auto"/>
        <w:rPr>
          <w:sz w:val="20"/>
          <w:szCs w:val="20"/>
          <w:color w:val="auto"/>
        </w:rPr>
      </w:pPr>
      <w:r>
        <w:rPr>
          <w:rFonts w:ascii="Courier New" w:cs="Courier New" w:eastAsia="Courier New" w:hAnsi="Courier New"/>
          <w:sz w:val="18"/>
          <w:szCs w:val="18"/>
          <w:color w:val="auto"/>
        </w:rPr>
        <w:t>47,772</w:t>
      </w:r>
    </w:p>
    <w:p>
      <w:pPr>
        <w:ind w:left="3800"/>
        <w:spacing w:after="0" w:line="238" w:lineRule="auto"/>
        <w:rPr>
          <w:sz w:val="20"/>
          <w:szCs w:val="20"/>
          <w:color w:val="auto"/>
        </w:rPr>
      </w:pPr>
      <w:r>
        <w:rPr>
          <w:rFonts w:ascii="Courier New" w:cs="Courier New" w:eastAsia="Courier New" w:hAnsi="Courier New"/>
          <w:sz w:val="18"/>
          <w:szCs w:val="18"/>
          <w:color w:val="auto"/>
        </w:rPr>
        <w:t>16,887</w:t>
      </w:r>
    </w:p>
    <w:p>
      <w:pPr>
        <w:ind w:left="3060"/>
        <w:spacing w:after="0"/>
        <w:rPr>
          <w:sz w:val="20"/>
          <w:szCs w:val="20"/>
          <w:color w:val="auto"/>
        </w:rPr>
      </w:pPr>
      <w:r>
        <w:rPr>
          <w:rFonts w:ascii="Courier New" w:cs="Courier New" w:eastAsia="Courier New" w:hAnsi="Courier New"/>
          <w:sz w:val="18"/>
          <w:szCs w:val="18"/>
          <w:color w:val="auto"/>
        </w:rPr>
        <w:t>30,885</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30,885</w:t>
      </w:r>
    </w:p>
    <w:p>
      <w:pPr>
        <w:ind w:left="4020"/>
        <w:spacing w:after="0" w:line="237" w:lineRule="auto"/>
        <w:rPr>
          <w:sz w:val="20"/>
          <w:szCs w:val="20"/>
          <w:color w:val="auto"/>
        </w:rPr>
      </w:pPr>
      <w:r>
        <w:rPr>
          <w:rFonts w:ascii="Courier New" w:cs="Courier New" w:eastAsia="Courier New" w:hAnsi="Courier New"/>
          <w:sz w:val="18"/>
          <w:szCs w:val="18"/>
          <w:color w:val="auto"/>
        </w:rPr>
        <w:t>.46</w:t>
      </w:r>
    </w:p>
    <w:p>
      <w:pPr>
        <w:ind w:left="4020"/>
        <w:spacing w:after="0" w:line="238" w:lineRule="auto"/>
        <w:rPr>
          <w:sz w:val="20"/>
          <w:szCs w:val="20"/>
          <w:color w:val="auto"/>
        </w:rPr>
      </w:pPr>
      <w:r>
        <w:rPr>
          <w:rFonts w:ascii="Courier New" w:cs="Courier New" w:eastAsia="Courier New" w:hAnsi="Courier New"/>
          <w:sz w:val="18"/>
          <w:szCs w:val="18"/>
          <w:color w:val="auto"/>
        </w:rPr>
        <w:t>.46</w:t>
      </w:r>
    </w:p>
    <w:p>
      <w:pPr>
        <w:spacing w:after="0" w:line="20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OTHER STOCKHOLDERS EQUITY OF $571,667 IS COMPRISED OF CAPITAL IN EXCESS OF PAR VALUE OF $80,272, RETAINED EARNINGS OF $487,550, CUMULATIVE TRANSLATION ADJUSTMENT OF $2,223 AND UNREALIZED GAINS ON CERTAIN INVESTMENTS OF $1,622.</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2019-12-13T07:44:23Z</dcterms:created>
  <dcterms:modified xsi:type="dcterms:W3CDTF">2019-12-13T07:44:23Z</dcterms:modified>
</cp:coreProperties>
</file>