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BOYD MEREDITH SUZANNE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7201 WEST FRIENDLY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25"/>
        <w:spacing w:after="0"/>
        <w:rPr>
          <w:sz w:val="20"/>
          <w:szCs w:val="20"/>
          <w:color w:val="auto"/>
        </w:rPr>
      </w:pPr>
      <w:r>
        <w:rPr>
          <w:rFonts w:ascii="Times New Roman" w:cs="Times New Roman" w:eastAsia="Times New Roman" w:hAnsi="Times New Roman"/>
          <w:sz w:val="17"/>
          <w:szCs w:val="17"/>
          <w:color w:val="0000FF"/>
        </w:rPr>
        <w:t>EVP</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GREENSBORO NC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27410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12/19/2025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1,143</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83,569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withholding obligations in connection with the reporting person's receipt of shares of the issuer's common stock upon the vesting of restricted stock units that were granted on December 19, 2023 and reported on the reporting person's Initial Statement of Beneficial Ownership of Securities on Form 3 filed with the U.S. Securities and Exchange Commission on February 1, 2024.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WESLEY M. SUTTLE,</w:t>
            </w:r>
          </w:p>
        </w:tc>
        <w:tc>
          <w:tcPr>
            <w:tcW w:w="14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12/22/2025</w:t>
            </w:r>
          </w:p>
        </w:tc>
        <w:tc>
          <w:tcPr>
            <w:tcW w:w="0" w:type="dxa"/>
            <w:vAlign w:val="bottom"/>
          </w:tcPr>
          <w:p>
            <w:pPr>
              <w:spacing w:after="0"/>
              <w:rPr>
                <w:sz w:val="1"/>
                <w:szCs w:val="1"/>
                <w:color w:val="auto"/>
              </w:rPr>
            </w:pPr>
          </w:p>
        </w:tc>
      </w:tr>
      <w:tr>
        <w:trPr>
          <w:trHeight w:val="87"/>
        </w:trPr>
        <w:tc>
          <w:tcPr>
            <w:tcW w:w="20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657"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2025-12-22T15:44:17Z</dcterms:created>
  <dcterms:modified xsi:type="dcterms:W3CDTF">2025-12-22T15:44:17Z</dcterms:modified>
</cp:coreProperties>
</file>