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7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LANGONE KENNETH G</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UNIFI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UFI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26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375 PARK AVENUE</w:t>
            </w:r>
          </w:p>
        </w:tc>
        <w:tc>
          <w:tcPr>
            <w:tcW w:w="13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STE 2205</w:t>
            </w: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7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12/01/2025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18,344</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3.48</w:t>
            </w:r>
            <w:r>
              <w:rPr>
                <w:rFonts w:ascii="Times New Roman" w:cs="Times New Roman" w:eastAsia="Times New Roman" w:hAnsi="Times New Roman"/>
                <w:sz w:val="22"/>
                <w:szCs w:val="22"/>
                <w:color w:val="008000"/>
                <w:w w:val="99"/>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2,422,150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12/02/2025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3,644</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3.53</w:t>
            </w:r>
            <w:r>
              <w:rPr>
                <w:rFonts w:ascii="Times New Roman" w:cs="Times New Roman" w:eastAsia="Times New Roman" w:hAnsi="Times New Roman"/>
                <w:sz w:val="22"/>
                <w:szCs w:val="22"/>
                <w:color w:val="008000"/>
                <w:w w:val="99"/>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2,425,794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30,000</w:t>
            </w:r>
            <w:r>
              <w:rPr>
                <w:rFonts w:ascii="Times New Roman" w:cs="Times New Roman" w:eastAsia="Times New Roman" w:hAnsi="Times New Roman"/>
                <w:sz w:val="22"/>
                <w:szCs w:val="22"/>
                <w:color w:val="008000"/>
                <w:w w:val="93"/>
                <w:vertAlign w:val="superscript"/>
              </w:rPr>
              <w:t>(3)</w:t>
            </w:r>
          </w:p>
        </w:tc>
        <w:tc>
          <w:tcPr>
            <w:tcW w:w="300" w:type="dxa"/>
            <w:vAlign w:val="bottom"/>
          </w:tcPr>
          <w:p>
            <w:pPr>
              <w:spacing w:after="0"/>
              <w:rPr>
                <w:sz w:val="24"/>
                <w:szCs w:val="24"/>
                <w:color w:val="auto"/>
              </w:rPr>
            </w:pPr>
          </w:p>
        </w:tc>
        <w:tc>
          <w:tcPr>
            <w:tcW w:w="560" w:type="dxa"/>
            <w:vAlign w:val="bottom"/>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130,000</w:t>
            </w:r>
            <w:r>
              <w:rPr>
                <w:rFonts w:ascii="Times New Roman" w:cs="Times New Roman" w:eastAsia="Times New Roman" w:hAnsi="Times New Roman"/>
                <w:sz w:val="22"/>
                <w:szCs w:val="22"/>
                <w:color w:val="008000"/>
                <w:w w:val="96"/>
                <w:vertAlign w:val="superscript"/>
              </w:rPr>
              <w:t>(4)</w:t>
            </w:r>
          </w:p>
        </w:tc>
        <w:tc>
          <w:tcPr>
            <w:tcW w:w="300" w:type="dxa"/>
            <w:vAlign w:val="bottom"/>
          </w:tcPr>
          <w:p>
            <w:pPr>
              <w:spacing w:after="0"/>
              <w:rPr>
                <w:sz w:val="18"/>
                <w:szCs w:val="18"/>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Invemed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Associates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$3.44 to $3.50, inclusive. The reporting person undertakes to provide to the issuer, any security holder of the issuer, or the staff of the U.S. Securities and Exchange Commission, upon request, full information regarding the number of shares purchased at each separate price within the ranges set forth in footnotes (1) and (2)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$3.45 to $3.58, inclusive.</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Form 4 shall not be deemed an admission that the reporting person is the beneficial owner of the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principal equity holder and previously served as Chairman and CEO of Invemed Associates LLC. Pursuant to Instruction (4)(b)(iv) of Form 4, the reporting person has elected to report as indirectly beneficially owned the entire number of securities beneficially owned by such entity. The reporting person disclaims beneficial ownership of any securities, and any proceeds thereof, that exceed his pecuniary interest therein and/or are not actually distributed to him.</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WESLEY M. SUTTLE,</w:t>
            </w:r>
          </w:p>
        </w:tc>
        <w:tc>
          <w:tcPr>
            <w:tcW w:w="14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20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05874"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2025-12-03T15:25:39Z</dcterms:created>
  <dcterms:modified xsi:type="dcterms:W3CDTF">2025-12-03T15:25:39Z</dcterms:modified>
</cp:coreProperties>
</file>