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MOORE BRIAN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7201 W. FRIENDLY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UNIFI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25"/>
        <w:spacing w:after="0"/>
        <w:rPr>
          <w:sz w:val="20"/>
          <w:szCs w:val="20"/>
          <w:color w:val="auto"/>
        </w:rPr>
      </w:pPr>
      <w:r>
        <w:rPr>
          <w:rFonts w:ascii="Times New Roman" w:cs="Times New Roman" w:eastAsia="Times New Roman" w:hAnsi="Times New Roman"/>
          <w:sz w:val="17"/>
          <w:szCs w:val="17"/>
          <w:color w:val="0000FF"/>
        </w:rPr>
        <w:t>EVP</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GREENSBORO NC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27410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12,096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78,245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2,508</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75,737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from the issuer for services as an Executive Vice President of the issuer. Each restricted stock unit represents a right to receive one share of the issuer's common stock. The restricted stock units vest over a three-year period, with 25% vesting on December 10, 2027, 25% vesting on December 15, 2028, and 50% vesting on December 14, 2029.</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withholding obligations in connection with the reporting person's receipt of shares of the issuer's common stock upon the vesting of restricted stock units that were granted on October 28, 2024, and reported on the reporting person's Statement of Changes in Beneficial Ownership of Securities on Form 4 filed with the U.S. Securities and Exchange Commission on October 30, 2024.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M. SUTTLE,</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10/29/2026</w:t>
            </w: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vMerge w:val="restart"/>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9479" TargetMode="External"/><Relationship Id="rId14" Type="http://schemas.openxmlformats.org/officeDocument/2006/relationships/hyperlink" Target="http://www.sec.gov/cgi-bin/browse-edgar?action=getcompany&amp;CIK=0000100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2026-10-29T17:19:41Z</dcterms:created>
  <dcterms:modified xsi:type="dcterms:W3CDTF">2026-10-29T17:19:41Z</dcterms:modified>
</cp:coreProperties>
</file>