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ufi-20251228.htm"/>
      <w:bookmarkStart w:id="1" w:name="ksufi20251228"/>
      <w:bookmarkEnd w:id="0"/>
      <w:bookmarkEnd w:id="1"/>
      <w:r>
        <w:rPr/>
        <w:t> </w:t>
      </w:r>
    </w:p>
    <w:p>
      <w:pPr>
        <w:pStyle w:val="TextBody"/>
        <w:pBdr>
          <w:top w:val="double" w:sz="4" w:space="1" w:color="000000"/>
        </w:pBdr>
        <w:bidi w:val="0"/>
        <w:jc w:val="left"/>
        <w:rPr/>
      </w:pPr>
      <w:r>
        <w:rPr/>
        <w:t> </w:t>
      </w:r>
    </w:p>
    <w:p>
      <w:pPr>
        <w:pStyle w:val="TextBody"/>
        <w:bidi w:val="0"/>
        <w:spacing w:before="80" w:after="283"/>
        <w:jc w:val="center"/>
        <w:rPr>
          <w:rFonts w:ascii="Arial" w:hAnsi="Arial"/>
          <w:b/>
          <w:color w:val="000000"/>
          <w:sz w:val="28"/>
        </w:rPr>
      </w:pPr>
      <w:r>
        <w:rPr>
          <w:rFonts w:ascii="Arial" w:hAnsi="Arial"/>
          <w:b/>
          <w:color w:val="000000"/>
          <w:sz w:val="28"/>
        </w:rPr>
        <w:t>UNITED STATES</w:t>
      </w:r>
    </w:p>
    <w:p>
      <w:pPr>
        <w:pStyle w:val="TextBody"/>
        <w:bidi w:val="0"/>
        <w:jc w:val="center"/>
        <w:rPr>
          <w:rFonts w:ascii="Arial" w:hAnsi="Arial"/>
          <w:b/>
          <w:color w:val="000000"/>
          <w:sz w:val="28"/>
        </w:rPr>
      </w:pPr>
      <w:r>
        <w:rPr>
          <w:rFonts w:ascii="Arial" w:hAnsi="Arial"/>
          <w:b/>
          <w:color w:val="000000"/>
          <w:sz w:val="28"/>
        </w:rPr>
        <w:t>SECURITIES AND EXCHANGE COMMISSION</w:t>
      </w:r>
    </w:p>
    <w:p>
      <w:pPr>
        <w:pStyle w:val="TextBody"/>
        <w:bidi w:val="0"/>
        <w:jc w:val="center"/>
        <w:rPr>
          <w:rFonts w:ascii="Arial" w:hAnsi="Arial"/>
          <w:b/>
          <w:color w:val="000000"/>
          <w:sz w:val="24"/>
        </w:rPr>
      </w:pPr>
      <w:r>
        <w:rPr>
          <w:rFonts w:ascii="Arial" w:hAnsi="Arial"/>
          <w:b/>
          <w:color w:val="000000"/>
          <w:sz w:val="24"/>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Arial" w:hAnsi="Arial"/>
          <w:b/>
          <w:color w:val="000000"/>
          <w:sz w:val="36"/>
        </w:rPr>
      </w:pPr>
      <w:r>
        <w:rPr>
          <w:rFonts w:ascii="Arial" w:hAnsi="Arial"/>
          <w:b/>
          <w:color w:val="000000"/>
          <w:sz w:val="36"/>
        </w:rPr>
        <w:t>FORM 10-Q</w:t>
      </w:r>
    </w:p>
    <w:p>
      <w:pPr>
        <w:pStyle w:val="TextBody"/>
        <w:pBdr>
          <w:bottom w:val="single" w:sz="4" w:space="1" w:color="000000"/>
        </w:pBdr>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053"/>
        <w:gridCol w:w="9152"/>
      </w:tblGrid>
      <w:tr>
        <w:trPr/>
        <w:tc>
          <w:tcPr>
            <w:tcW w:w="1053" w:type="dxa"/>
            <w:tcBorders/>
            <w:vAlign w:val="center"/>
          </w:tcPr>
          <w:p>
            <w:pPr>
              <w:pStyle w:val="TableContents"/>
              <w:bidi w:val="0"/>
              <w:spacing w:before="0" w:after="283"/>
              <w:jc w:val="left"/>
              <w:rPr>
                <w:sz w:val="4"/>
                <w:szCs w:val="4"/>
              </w:rPr>
            </w:pPr>
            <w:r>
              <w:rPr>
                <w:sz w:val="4"/>
                <w:szCs w:val="4"/>
              </w:rPr>
            </w:r>
          </w:p>
        </w:tc>
        <w:tc>
          <w:tcPr>
            <w:tcW w:w="9152" w:type="dxa"/>
            <w:tcBorders/>
            <w:vAlign w:val="center"/>
          </w:tcPr>
          <w:p>
            <w:pPr>
              <w:pStyle w:val="TableContents"/>
              <w:bidi w:val="0"/>
              <w:spacing w:before="0" w:after="283"/>
              <w:jc w:val="left"/>
              <w:rPr>
                <w:sz w:val="4"/>
                <w:szCs w:val="4"/>
              </w:rPr>
            </w:pPr>
            <w:r>
              <w:rPr>
                <w:sz w:val="4"/>
                <w:szCs w:val="4"/>
              </w:rPr>
            </w:r>
          </w:p>
        </w:tc>
      </w:tr>
      <w:tr>
        <w:trPr/>
        <w:tc>
          <w:tcPr>
            <w:tcW w:w="1053"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(Mark One)</w:t>
            </w:r>
          </w:p>
        </w:tc>
        <w:tc>
          <w:tcPr>
            <w:tcW w:w="9152"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053"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152"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QUARTERLY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Arial" w:hAnsi="Arial"/>
          <w:b/>
          <w:color w:val="000000"/>
          <w:sz w:val="18"/>
        </w:rPr>
        <w:t>For the quarterly period ended</w:t>
      </w:r>
      <w:r>
        <w:rPr>
          <w:rFonts w:ascii="Times New Roman" w:hAnsi="Times New Roman"/>
          <w:color w:val="000000"/>
          <w:sz w:val="20"/>
        </w:rPr>
        <w:t xml:space="preserve"> </w:t>
      </w:r>
      <w:r>
        <w:rPr>
          <w:rFonts w:ascii="Arial" w:hAnsi="Arial"/>
          <w:b/>
          <w:color w:val="000000"/>
          <w:sz w:val="18"/>
        </w:rPr>
        <w:t>December 28, 2025</w:t>
      </w:r>
    </w:p>
    <w:p>
      <w:pPr>
        <w:pStyle w:val="TextBody"/>
        <w:bidi w:val="0"/>
        <w:spacing w:before="120" w:after="283"/>
        <w:jc w:val="center"/>
        <w:rPr>
          <w:rFonts w:ascii="Arial" w:hAnsi="Arial"/>
          <w:b/>
          <w:color w:val="000000"/>
          <w:sz w:val="18"/>
        </w:rPr>
      </w:pPr>
      <w:r>
        <w:rPr>
          <w:rFonts w:ascii="Arial" w:hAnsi="Arial"/>
          <w:b/>
          <w:color w:val="000000"/>
          <w:sz w:val="18"/>
        </w:rPr>
        <w:t>OR</w:t>
      </w:r>
    </w:p>
    <w:tbl>
      <w:tblPr>
        <w:tblW w:w="9677" w:type="dxa"/>
        <w:jc w:val="left"/>
        <w:tblInd w:w="0" w:type="dxa"/>
        <w:tblLayout w:type="fixed"/>
        <w:tblCellMar>
          <w:top w:w="28" w:type="dxa"/>
          <w:left w:w="28" w:type="dxa"/>
          <w:bottom w:w="28" w:type="dxa"/>
          <w:right w:w="28" w:type="dxa"/>
        </w:tblCellMar>
      </w:tblPr>
      <w:tblGrid>
        <w:gridCol w:w="331"/>
        <w:gridCol w:w="9346"/>
      </w:tblGrid>
      <w:tr>
        <w:trPr/>
        <w:tc>
          <w:tcPr>
            <w:tcW w:w="331" w:type="dxa"/>
            <w:tcBorders/>
            <w:vAlign w:val="center"/>
          </w:tcPr>
          <w:p>
            <w:pPr>
              <w:pStyle w:val="TableContents"/>
              <w:bidi w:val="0"/>
              <w:spacing w:before="0" w:after="283"/>
              <w:jc w:val="left"/>
              <w:rPr>
                <w:sz w:val="4"/>
                <w:szCs w:val="4"/>
              </w:rPr>
            </w:pPr>
            <w:r>
              <w:rPr>
                <w:sz w:val="4"/>
                <w:szCs w:val="4"/>
              </w:rPr>
            </w:r>
          </w:p>
        </w:tc>
        <w:tc>
          <w:tcPr>
            <w:tcW w:w="934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4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1" w:type="dxa"/>
            <w:tcBorders/>
            <w:tcMar>
              <w:top w:w="0" w:type="dxa"/>
              <w:left w:w="0" w:type="dxa"/>
              <w:bottom w:w="0" w:type="dxa"/>
              <w:right w:w="0" w:type="dxa"/>
            </w:tcMar>
            <w:vAlign w:val="center"/>
          </w:tcPr>
          <w:p>
            <w:pPr>
              <w:pStyle w:val="TableContents"/>
              <w:bidi w:val="0"/>
              <w:spacing w:before="0" w:after="283"/>
              <w:jc w:val="center"/>
              <w:rPr>
                <w:color w:val="000000"/>
              </w:rPr>
            </w:pPr>
            <w:r>
              <w:rPr>
                <w:color w:val="000000"/>
              </w:rPr>
              <w:t>☐</w:t>
            </w:r>
          </w:p>
        </w:tc>
        <w:tc>
          <w:tcPr>
            <w:tcW w:w="934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TRANSITION REPORT PURSUANT TO SECTION 13 OR 15(d) OF THE SECURITIES EXCHANGE ACT OF 1934</w:t>
            </w:r>
          </w:p>
        </w:tc>
      </w:tr>
    </w:tbl>
    <w:p>
      <w:pPr>
        <w:pStyle w:val="TextBody"/>
        <w:bidi w:val="0"/>
        <w:spacing w:before="120" w:after="283"/>
        <w:jc w:val="center"/>
        <w:rPr>
          <w:rFonts w:ascii="Times New Roman" w:hAnsi="Times New Roman"/>
          <w:sz w:val="20"/>
        </w:rPr>
      </w:pPr>
      <w:r>
        <w:rPr>
          <w:rFonts w:ascii="Arial" w:hAnsi="Arial"/>
          <w:b/>
          <w:color w:val="000000"/>
          <w:sz w:val="18"/>
        </w:rPr>
        <w:t>For the transition period from to _____</w:t>
      </w:r>
      <w:r>
        <w:rPr>
          <w:rFonts w:ascii="Times New Roman" w:hAnsi="Times New Roman"/>
          <w:color w:val="000000"/>
          <w:sz w:val="20"/>
        </w:rPr>
        <w:t xml:space="preserve"> </w:t>
      </w:r>
    </w:p>
    <w:p>
      <w:pPr>
        <w:pStyle w:val="TextBody"/>
        <w:bidi w:val="0"/>
        <w:spacing w:before="120" w:after="283"/>
        <w:jc w:val="center"/>
        <w:rPr>
          <w:rFonts w:ascii="Arial" w:hAnsi="Arial"/>
          <w:b/>
          <w:color w:val="000000"/>
          <w:sz w:val="18"/>
        </w:rPr>
      </w:pPr>
      <w:r>
        <w:rPr>
          <w:rFonts w:ascii="Arial" w:hAnsi="Arial"/>
          <w:b/>
          <w:color w:val="000000"/>
          <w:sz w:val="18"/>
        </w:rPr>
        <w:t>Commission File Number: 1-10542</w:t>
      </w:r>
    </w:p>
    <w:p>
      <w:pPr>
        <w:pStyle w:val="TextBody"/>
        <w:pBdr>
          <w:bottom w:val="single" w:sz="4" w:space="1" w:color="000000"/>
        </w:pBdr>
        <w:bidi w:val="0"/>
        <w:jc w:val="center"/>
        <w:rPr/>
      </w:pPr>
      <w:r>
        <w:rPr/>
        <w:t> </w:t>
      </w:r>
    </w:p>
    <w:p>
      <w:pPr>
        <w:pStyle w:val="TextBody"/>
        <w:bidi w:val="0"/>
        <w:spacing w:before="120" w:after="283"/>
        <w:jc w:val="center"/>
        <w:rPr>
          <w:rFonts w:ascii="Arial" w:hAnsi="Arial"/>
          <w:b/>
          <w:color w:val="000000"/>
          <w:sz w:val="40"/>
        </w:rPr>
      </w:pPr>
      <w:r>
        <w:rPr>
          <w:rFonts w:ascii="Arial" w:hAnsi="Arial"/>
          <w:b/>
          <w:color w:val="000000"/>
          <w:sz w:val="40"/>
        </w:rPr>
        <w:t>UNIFI, INC.</w:t>
      </w:r>
    </w:p>
    <w:p>
      <w:pPr>
        <w:pStyle w:val="TextBody"/>
        <w:bidi w:val="0"/>
        <w:jc w:val="center"/>
        <w:rPr>
          <w:rFonts w:ascii="Arial" w:hAnsi="Arial"/>
          <w:b/>
          <w:color w:val="000000"/>
          <w:sz w:val="12"/>
        </w:rPr>
      </w:pPr>
      <w:r>
        <w:rPr>
          <w:rFonts w:ascii="Arial" w:hAnsi="Arial"/>
          <w:b/>
          <w:color w:val="000000"/>
          <w:sz w:val="12"/>
        </w:rPr>
        <w:t>(Exact name of registrant as specified in its charter)</w:t>
      </w:r>
    </w:p>
    <w:p>
      <w:pPr>
        <w:pStyle w:val="TextBody"/>
        <w:pBdr>
          <w:bottom w:val="single" w:sz="4" w:space="1" w:color="000000"/>
        </w:pBdr>
        <w:bidi w:val="0"/>
        <w:jc w:val="center"/>
        <w:rPr/>
      </w:pPr>
      <w:r>
        <w:rPr/>
        <w:t> </w:t>
      </w:r>
    </w:p>
    <w:tbl>
      <w:tblPr>
        <w:tblW w:w="3823" w:type="dxa"/>
        <w:jc w:val="left"/>
        <w:tblInd w:w="0" w:type="dxa"/>
        <w:tblLayout w:type="fixed"/>
        <w:tblCellMar>
          <w:top w:w="28" w:type="dxa"/>
          <w:left w:w="28" w:type="dxa"/>
          <w:bottom w:w="28" w:type="dxa"/>
          <w:right w:w="28" w:type="dxa"/>
        </w:tblCellMar>
      </w:tblPr>
      <w:tblGrid>
        <w:gridCol w:w="2521"/>
        <w:gridCol w:w="146"/>
        <w:gridCol w:w="1156"/>
      </w:tblGrid>
      <w:tr>
        <w:trPr/>
        <w:tc>
          <w:tcPr>
            <w:tcW w:w="25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New York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11-2165495</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(I.R.S. Employer</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Identification No.)</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7201 West Friendly Avenue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Arial" w:hAnsi="Arial"/>
                <w:b/>
                <w:color w:val="000000"/>
                <w:sz w:val="18"/>
              </w:rPr>
              <w:t>Greensboro, North Carolina</w:t>
            </w:r>
            <w:r>
              <w:rPr>
                <w:rFonts w:ascii="Times New Roman" w:hAnsi="Times New Roman"/>
                <w:color w:val="000000"/>
                <w:sz w:val="20"/>
              </w:rPr>
              <w:t xml:space="preserve">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27410</w:t>
            </w:r>
          </w:p>
        </w:tc>
      </w:tr>
      <w:tr>
        <w:trPr/>
        <w:tc>
          <w:tcPr>
            <w:tcW w:w="252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2"/>
              </w:rPr>
            </w:pPr>
            <w:r>
              <w:rPr>
                <w:rFonts w:ascii="Arial" w:hAnsi="Arial"/>
                <w:b/>
                <w:color w:val="000000"/>
                <w:sz w:val="12"/>
              </w:rPr>
              <w:t>(Zip Code)</w:t>
            </w:r>
          </w:p>
        </w:tc>
      </w:tr>
    </w:tbl>
    <w:p>
      <w:pPr>
        <w:pStyle w:val="TextBody"/>
        <w:bidi w:val="0"/>
        <w:spacing w:before="120" w:after="283"/>
        <w:jc w:val="center"/>
        <w:rPr>
          <w:rFonts w:ascii="Arial" w:hAnsi="Arial"/>
          <w:b/>
          <w:color w:val="000000"/>
          <w:sz w:val="18"/>
        </w:rPr>
      </w:pPr>
      <w:r>
        <w:rPr>
          <w:rFonts w:ascii="Arial" w:hAnsi="Arial"/>
          <w:b/>
          <w:color w:val="000000"/>
          <w:sz w:val="18"/>
        </w:rPr>
        <w:t>(336) 294-4410</w:t>
      </w:r>
    </w:p>
    <w:p>
      <w:pPr>
        <w:pStyle w:val="TextBody"/>
        <w:bidi w:val="0"/>
        <w:jc w:val="center"/>
        <w:rPr>
          <w:rFonts w:ascii="Arial" w:hAnsi="Arial"/>
          <w:b/>
          <w:color w:val="000000"/>
          <w:sz w:val="12"/>
        </w:rPr>
      </w:pPr>
      <w:r>
        <w:rPr>
          <w:rFonts w:ascii="Arial" w:hAnsi="Arial"/>
          <w:b/>
          <w:color w:val="000000"/>
          <w:sz w:val="12"/>
        </w:rPr>
        <w:t>(Registrant’s telephone number, including area code)</w:t>
      </w:r>
    </w:p>
    <w:p>
      <w:pPr>
        <w:pStyle w:val="TextBody"/>
        <w:bidi w:val="0"/>
        <w:jc w:val="center"/>
        <w:rPr/>
      </w:pPr>
      <w:r>
        <w:rPr/>
        <w:t> </w:t>
      </w:r>
    </w:p>
    <w:p>
      <w:pPr>
        <w:pStyle w:val="TextBody"/>
        <w:bidi w:val="0"/>
        <w:spacing w:before="80" w:after="40"/>
        <w:jc w:val="left"/>
        <w:rPr>
          <w:rFonts w:ascii="Arial" w:hAnsi="Arial"/>
          <w:color w:val="000000"/>
          <w:sz w:val="18"/>
        </w:rPr>
      </w:pPr>
      <w:r>
        <w:rPr>
          <w:rFonts w:ascii="Arial" w:hAnsi="Arial"/>
          <w:color w:val="000000"/>
          <w:sz w:val="18"/>
        </w:rPr>
        <w:t>Securities registered pursuant to Section 12(b) of the Act:</w:t>
      </w:r>
    </w:p>
    <w:tbl>
      <w:tblPr>
        <w:tblW w:w="6933" w:type="dxa"/>
        <w:jc w:val="left"/>
        <w:tblInd w:w="0" w:type="dxa"/>
        <w:tblLayout w:type="fixed"/>
        <w:tblCellMar>
          <w:top w:w="28" w:type="dxa"/>
          <w:left w:w="28" w:type="dxa"/>
          <w:bottom w:w="28" w:type="dxa"/>
          <w:right w:w="28" w:type="dxa"/>
        </w:tblCellMar>
      </w:tblPr>
      <w:tblGrid>
        <w:gridCol w:w="3211"/>
        <w:gridCol w:w="1141"/>
        <w:gridCol w:w="2581"/>
      </w:tblGrid>
      <w:tr>
        <w:trPr/>
        <w:tc>
          <w:tcPr>
            <w:tcW w:w="3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581" w:type="dxa"/>
            <w:tcBorders/>
            <w:vAlign w:val="center"/>
          </w:tcPr>
          <w:p>
            <w:pPr>
              <w:pStyle w:val="TableContents"/>
              <w:bidi w:val="0"/>
              <w:spacing w:before="0" w:after="283"/>
              <w:jc w:val="left"/>
              <w:rPr>
                <w:sz w:val="4"/>
                <w:szCs w:val="4"/>
              </w:rPr>
            </w:pPr>
            <w:r>
              <w:rPr>
                <w:sz w:val="4"/>
                <w:szCs w:val="4"/>
              </w:rPr>
            </w:r>
          </w:p>
        </w:tc>
      </w:tr>
      <w:tr>
        <w:trPr/>
        <w:tc>
          <w:tcPr>
            <w:tcW w:w="321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Arial" w:hAnsi="Arial"/>
                <w:b/>
                <w:color w:val="000000"/>
                <w:sz w:val="12"/>
                <w:u w:val="single"/>
              </w:rPr>
            </w:pPr>
            <w:r>
              <w:rPr>
                <w:rFonts w:ascii="Arial" w:hAnsi="Arial"/>
                <w:b/>
                <w:color w:val="000000"/>
                <w:sz w:val="12"/>
                <w:u w:val="single"/>
              </w:rPr>
              <w:t>Title of each class</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2"/>
                <w:u w:val="single"/>
              </w:rPr>
            </w:pPr>
            <w:r>
              <w:rPr>
                <w:rFonts w:ascii="Arial" w:hAnsi="Arial"/>
                <w:b/>
                <w:color w:val="000000"/>
                <w:sz w:val="12"/>
                <w:u w:val="single"/>
              </w:rPr>
              <w:t>Trading Symbol(s)</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Arial" w:hAnsi="Arial"/>
                <w:b/>
                <w:color w:val="000000"/>
                <w:sz w:val="12"/>
                <w:u w:val="single"/>
              </w:rPr>
            </w:pPr>
            <w:r>
              <w:rPr>
                <w:rFonts w:ascii="Arial" w:hAnsi="Arial"/>
                <w:b/>
                <w:color w:val="000000"/>
                <w:sz w:val="12"/>
                <w:u w:val="single"/>
              </w:rPr>
              <w:t>Name of each exchange on which registered</w:t>
            </w:r>
          </w:p>
        </w:tc>
      </w:tr>
      <w:tr>
        <w:trPr/>
        <w:tc>
          <w:tcPr>
            <w:tcW w:w="321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Common Stock, par value $0.10 per share</w:t>
            </w:r>
          </w:p>
        </w:tc>
        <w:tc>
          <w:tcPr>
            <w:tcW w:w="114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UFI</w:t>
            </w:r>
          </w:p>
        </w:tc>
        <w:tc>
          <w:tcPr>
            <w:tcW w:w="2581"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New York Stock Exchange</w:t>
            </w:r>
          </w:p>
        </w:tc>
      </w:tr>
    </w:tbl>
    <w:p>
      <w:pPr>
        <w:pStyle w:val="TextBody"/>
        <w:bidi w:val="0"/>
        <w:jc w:val="center"/>
        <w:rPr/>
      </w:pPr>
      <w:r>
        <w:rPr/>
        <w:t> </w:t>
      </w:r>
    </w:p>
    <w:p>
      <w:pPr>
        <w:pStyle w:val="TextBody"/>
        <w:bidi w:val="0"/>
        <w:spacing w:before="40" w:after="283"/>
        <w:jc w:val="both"/>
        <w:rPr>
          <w:rFonts w:ascii="Times New Roman" w:hAnsi="Times New Roman"/>
          <w:sz w:val="20"/>
        </w:rPr>
      </w:pPr>
      <w:r>
        <w:rPr>
          <w:rFonts w:ascii="Arial" w:hAnsi="Arial"/>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rFonts w:ascii="Arial" w:hAnsi="Arial"/>
          <w:color w:val="000000"/>
          <w:sz w:val="18"/>
        </w:rPr>
      </w:pPr>
      <w:r>
        <w:rPr>
          <w:rFonts w:ascii="Arial" w:hAnsi="Arial"/>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99" w:type="dxa"/>
        <w:jc w:val="left"/>
        <w:tblInd w:w="0" w:type="dxa"/>
        <w:tblLayout w:type="fixed"/>
        <w:tblCellMar>
          <w:top w:w="28" w:type="dxa"/>
          <w:left w:w="28" w:type="dxa"/>
          <w:bottom w:w="28" w:type="dxa"/>
          <w:right w:w="28" w:type="dxa"/>
        </w:tblCellMar>
      </w:tblPr>
      <w:tblGrid>
        <w:gridCol w:w="1951"/>
        <w:gridCol w:w="376"/>
        <w:gridCol w:w="2311"/>
        <w:gridCol w:w="361"/>
      </w:tblGrid>
      <w:tr>
        <w:trPr/>
        <w:tc>
          <w:tcPr>
            <w:tcW w:w="195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Large 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Non-accelerated filer</w:t>
            </w:r>
          </w:p>
        </w:tc>
        <w:tc>
          <w:tcPr>
            <w:tcW w:w="37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spacing w:before="80" w:after="283"/>
        <w:jc w:val="both"/>
        <w:rPr>
          <w:rFonts w:ascii="Times New Roman" w:hAnsi="Times New Roman"/>
          <w:sz w:val="20"/>
        </w:rPr>
      </w:pPr>
      <w:r>
        <w:rPr>
          <w:rFonts w:ascii="Arial" w:hAnsi="Arial"/>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TextBody"/>
        <w:bidi w:val="0"/>
        <w:spacing w:before="80" w:after="283"/>
        <w:jc w:val="both"/>
        <w:rPr>
          <w:rFonts w:ascii="Times New Roman" w:hAnsi="Times New Roman"/>
          <w:sz w:val="20"/>
        </w:rPr>
      </w:pPr>
      <w:r>
        <w:rPr>
          <w:rFonts w:ascii="Arial" w:hAnsi="Arial"/>
          <w:color w:val="000000"/>
          <w:sz w:val="18"/>
        </w:rPr>
        <w:t xml:space="preserve">Indicate by check mark whether the registrant is a shell company (as defined in Rule 12b-2 of the Exchange Act). Yes </w:t>
      </w:r>
      <w:r>
        <w:rPr>
          <w:rFonts w:ascii="Times New Roman" w:hAnsi="Times New Roman"/>
          <w:color w:val="000000"/>
          <w:sz w:val="20"/>
        </w:rPr>
        <w:t xml:space="preserve">☐ </w:t>
      </w:r>
      <w:r>
        <w:rPr>
          <w:rFonts w:ascii="Arial" w:hAnsi="Arial"/>
          <w:color w:val="000000"/>
          <w:sz w:val="18"/>
        </w:rPr>
        <w:t xml:space="preserve">No </w:t>
      </w:r>
      <w:r>
        <w:rPr>
          <w:rFonts w:ascii="Times New Roman" w:hAnsi="Times New Roman"/>
          <w:color w:val="000000"/>
          <w:sz w:val="20"/>
        </w:rPr>
        <w:t>☒</w:t>
      </w:r>
    </w:p>
    <w:p>
      <w:pPr>
        <w:pStyle w:val="TextBody"/>
        <w:bidi w:val="0"/>
        <w:spacing w:before="80" w:after="283"/>
        <w:jc w:val="both"/>
        <w:rPr/>
      </w:pPr>
      <w:r>
        <w:rPr/>
        <w:t> </w:t>
      </w:r>
    </w:p>
    <w:p>
      <w:pPr>
        <w:pStyle w:val="TextBody"/>
        <w:bidi w:val="0"/>
        <w:spacing w:before="40" w:after="283"/>
        <w:jc w:val="both"/>
        <w:rPr>
          <w:rFonts w:ascii="Times New Roman" w:hAnsi="Times New Roman"/>
          <w:sz w:val="20"/>
        </w:rPr>
      </w:pPr>
      <w:r>
        <w:rPr>
          <w:rFonts w:ascii="Arial" w:hAnsi="Arial"/>
          <w:color w:val="000000"/>
          <w:sz w:val="18"/>
        </w:rPr>
        <w:t>As of January 30, 2026, there were 18,581,051</w:t>
      </w:r>
      <w:r>
        <w:rPr>
          <w:rFonts w:ascii="Times New Roman" w:hAnsi="Times New Roman"/>
          <w:color w:val="000000"/>
          <w:sz w:val="20"/>
        </w:rPr>
        <w:t xml:space="preserve"> </w:t>
      </w:r>
      <w:r>
        <w:rPr>
          <w:rFonts w:ascii="Arial" w:hAnsi="Arial"/>
          <w:color w:val="000000"/>
          <w:sz w:val="18"/>
        </w:rPr>
        <w:t>shares of the registrant’s common stock, par value $0.10 per share, outstanding.</w:t>
      </w:r>
    </w:p>
    <w:p>
      <w:pPr>
        <w:pStyle w:val="TextBody"/>
        <w:pBdr>
          <w:bottom w:val="double" w:sz="6" w:space="1" w:color="000000"/>
        </w:pBdr>
        <w:bidi w:val="0"/>
        <w:jc w:val="both"/>
        <w:rPr/>
      </w:pPr>
      <w:r>
        <w:rPr/>
        <w:t> </w:t>
      </w:r>
    </w:p>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7"/>
        </w:rPr>
      </w:pPr>
      <w:r>
        <w:rPr>
          <w:rFonts w:ascii="Arial" w:hAnsi="Arial"/>
          <w:b/>
          <w:color w:val="000000"/>
          <w:sz w:val="17"/>
        </w:rPr>
        <w:t>FORWARD-LOOKING STATEMENTS</w:t>
      </w:r>
    </w:p>
    <w:p>
      <w:pPr>
        <w:pStyle w:val="TextBody"/>
        <w:bidi w:val="0"/>
        <w:spacing w:before="120" w:after="283"/>
        <w:jc w:val="both"/>
        <w:rPr>
          <w:rFonts w:ascii="Arial" w:hAnsi="Arial"/>
          <w:color w:val="000000"/>
          <w:sz w:val="17"/>
        </w:rPr>
      </w:pPr>
      <w:r>
        <w:rPr>
          <w:rFonts w:ascii="Arial" w:hAnsi="Arial"/>
          <w:color w:val="000000"/>
          <w:sz w:val="17"/>
        </w:rPr>
        <w:t>This Quarterly Report on Form 10-Q contains “forward-looking statements” within the meaning of Section 27A of the Securities Act of 1933, as amended, and Section 21E of the Securities Exchange Act of 1934, as amended, that relate to our plans, objectives, estimates, and goals. Statements expressing expectations regarding our future, or projections or estimates relating to products, sales, revenues, expenditures, costs, strategies, initiatives, or earnings, are typical of such statements and are made under the Private Securities Litigation Reform Act of 1995. Forward-looking statements are based on management’s beliefs, assumptions, and expectations about our future performance, considering the information currently available to management. The words “believe,” “may,” “could,” “will,” “should,” “would,” “anticipate,” “plan,” “estimate,” “project,” “expect,” “intend,” “seek,” “strive,” and words of similar import, or the negative of such words, identify or signal the presence of forward-looking statements. These statements are not statements of historical fact; they involve risks and uncertainties that may cause our actual results, performance, or financial condition to differ materially from the expectations of future results, performance, or financial condition that we express or imply in any forward-looking statement. Factors that could contribute to such differences include, but are not limited to:</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competitive nature of the textile industry and the impact of global competition;</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changes in the trade regulatory environment, governmental policies and legislation (e.g., tariffs) and sustained disruption of government operations;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availability, sourcing, and pricing of raw materials;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general domestic and international economic and industry conditions in markets where the Company competes, including economic and political factors over which the Company has no control;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changes in consumer spending, customer preferences, fashion trends, and end-uses for the Company’s products;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financial condition of the Company’s customers;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loss of a significant customer or brand partner;</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natural disasters, industrial accidents, power or water shortages, extreme weather conditions, and other disruptions at one of the Company’s facilities;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disruption of operations, global demand, or financial performance as a result of catastrophic or extraordinary events, including, but not limited to, epidemics or pandemics;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success of the Company’s strategic business initiatives;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volatility of financial and credit markets, including the impacts of counterparty risk (e.g., deposit concentration and recent depositor sentiment and activity);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ability to service indebtedness and fund capital expenditures and strategic business initiatives;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availability of and access to credit on reasonable terms;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changes in foreign currency exchange, interest, and inflation rates;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fluctuations in production costs;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ability to protect intellectual property;</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strength and reputation of the Company’s brands;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employee relations;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ability to attract, retain, and motivate key employees;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impact of climate change or environmental, health, and safety regulations;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the impact of tax laws, the judicial or administrative interpretations of tax laws, and/or changes in such laws or interpretations;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7"/>
        </w:rPr>
      </w:pPr>
      <w:r>
        <w:rPr>
          <w:rFonts w:ascii="Arial" w:hAnsi="Arial"/>
          <w:color w:val="000000"/>
          <w:sz w:val="17"/>
        </w:rPr>
        <w:t>other factors discussed in “Item 1A. Risk Factors” in the Company’s Annual Report on Form 10-K for the fiscal year ended June 29, 2025 or in the Company’s other periodic reports and information filed with the Securities and Exchange Commission (the “SEC”).</w:t>
      </w:r>
    </w:p>
    <w:p>
      <w:pPr>
        <w:pStyle w:val="TextBody"/>
        <w:bidi w:val="0"/>
        <w:spacing w:before="120" w:after="283"/>
        <w:jc w:val="both"/>
        <w:rPr>
          <w:rFonts w:ascii="Arial" w:hAnsi="Arial"/>
          <w:color w:val="000000"/>
          <w:sz w:val="17"/>
        </w:rPr>
      </w:pPr>
      <w:r>
        <w:rPr>
          <w:rFonts w:ascii="Arial" w:hAnsi="Arial"/>
          <w:color w:val="000000"/>
          <w:sz w:val="17"/>
        </w:rPr>
        <w:t>All such factors are difficult to predict, contain uncertainties that may materially affect actual results, and may be beyond our control. New factors emerge from time to time, and it is not possible for management to predict all such factors or to assess the impact of each such factor on the Company. Any forward-looking statement speaks only as of the date on which such statement is made, and we do not undertake any obligation to update any forward-looking statement to reflect events or circumstances after the date on which such statement is made, except as may be required by federal securities laws.</w:t>
      </w:r>
    </w:p>
    <w:p>
      <w:pPr>
        <w:pStyle w:val="TextBody"/>
        <w:bidi w:val="0"/>
        <w:spacing w:before="120" w:after="283"/>
        <w:jc w:val="both"/>
        <w:rPr>
          <w:rFonts w:ascii="Arial" w:hAnsi="Arial"/>
          <w:color w:val="000000"/>
          <w:sz w:val="17"/>
        </w:rPr>
      </w:pPr>
      <w:r>
        <w:rPr>
          <w:rFonts w:ascii="Arial" w:hAnsi="Arial"/>
          <w:color w:val="000000"/>
          <w:sz w:val="17"/>
        </w:rPr>
        <w:t>In light of all of the above considerations, we reiterate that forward-looking statements are not guarantees of future performance, and we caution you not to rely on them as such.</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8"/>
        </w:rPr>
      </w:pPr>
      <w:r>
        <w:rPr>
          <w:rFonts w:ascii="Arial" w:hAnsi="Arial"/>
          <w:b/>
          <w:color w:val="000000"/>
          <w:sz w:val="18"/>
        </w:rPr>
        <w:t>UNIFI, INC.</w:t>
      </w:r>
    </w:p>
    <w:p>
      <w:pPr>
        <w:pStyle w:val="TextBody"/>
        <w:bidi w:val="0"/>
        <w:spacing w:before="120" w:after="283"/>
        <w:jc w:val="center"/>
        <w:rPr>
          <w:rFonts w:ascii="Arial" w:hAnsi="Arial"/>
          <w:b/>
          <w:color w:val="000000"/>
          <w:sz w:val="18"/>
        </w:rPr>
      </w:pPr>
      <w:r>
        <w:rPr>
          <w:rFonts w:ascii="Arial" w:hAnsi="Arial"/>
          <w:b/>
          <w:color w:val="000000"/>
          <w:sz w:val="18"/>
        </w:rPr>
        <w:t>QUARTERLY REPORT ON FORM 10-Q</w:t>
      </w:r>
    </w:p>
    <w:p>
      <w:pPr>
        <w:pStyle w:val="TextBody"/>
        <w:bidi w:val="0"/>
        <w:jc w:val="center"/>
        <w:rPr>
          <w:rFonts w:ascii="Arial" w:hAnsi="Arial"/>
          <w:b/>
          <w:color w:val="000000"/>
          <w:sz w:val="18"/>
        </w:rPr>
      </w:pPr>
      <w:r>
        <w:rPr>
          <w:rFonts w:ascii="Arial" w:hAnsi="Arial"/>
          <w:b/>
          <w:color w:val="000000"/>
          <w:sz w:val="18"/>
        </w:rPr>
        <w:t>FOR THE THREE MONTHS AND SIX MONTHS ENDED DECEMBER 28, 2025</w:t>
      </w:r>
    </w:p>
    <w:p>
      <w:pPr>
        <w:pStyle w:val="TextBody"/>
        <w:bidi w:val="0"/>
        <w:spacing w:before="120" w:after="283"/>
        <w:jc w:val="center"/>
        <w:rPr>
          <w:rFonts w:ascii="Arial" w:hAnsi="Arial"/>
          <w:b/>
          <w:color w:val="000000"/>
          <w:sz w:val="18"/>
        </w:rPr>
      </w:pPr>
      <w:r>
        <w:rPr>
          <w:rFonts w:ascii="Arial" w:hAnsi="Arial"/>
          <w:b/>
          <w:color w:val="000000"/>
          <w:sz w:val="18"/>
        </w:rPr>
        <w:t>TABLE OF CONTENTS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39"/>
        <w:gridCol w:w="391"/>
        <w:gridCol w:w="8442"/>
        <w:gridCol w:w="146"/>
        <w:gridCol w:w="587"/>
      </w:tblGrid>
      <w:tr>
        <w:trPr/>
        <w:tc>
          <w:tcPr>
            <w:tcW w:w="63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_financial_information">
              <w:r>
                <w:rPr>
                  <w:rStyle w:val="InternetLink"/>
                  <w:rFonts w:ascii="Arial" w:hAnsi="Arial"/>
                  <w:b/>
                  <w:color w:val="0000FF"/>
                  <w:sz w:val="18"/>
                  <w:u w:val="single"/>
                </w:rPr>
                <w:t>PART I—FINANCIAL INFORMATION</w:t>
              </w:r>
            </w:hyperlink>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8"/>
              </w:rPr>
            </w:pPr>
            <w:r>
              <w:rPr>
                <w:rFonts w:ascii="Arial" w:hAnsi="Arial"/>
                <w:b/>
                <w:color w:val="000000"/>
                <w:sz w:val="18"/>
              </w:rPr>
              <w:t>Page</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Arial" w:hAnsi="Arial"/>
                  <w:color w:val="0000FF"/>
                  <w:sz w:val="18"/>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balance_sheets_un">
              <w:r>
                <w:rPr>
                  <w:rStyle w:val="InternetLink"/>
                  <w:rFonts w:ascii="Arial" w:hAnsi="Arial"/>
                  <w:color w:val="0000FF"/>
                  <w:sz w:val="18"/>
                  <w:u w:val="single"/>
                </w:rPr>
                <w:t>Condensed Consolidated Balance Sheets as of December 28, 2025 and June 29, 2025</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income">
              <w:r>
                <w:rPr>
                  <w:rStyle w:val="InternetLink"/>
                  <w:rFonts w:ascii="Arial" w:hAnsi="Arial"/>
                  <w:color w:val="0000FF"/>
                  <w:sz w:val="18"/>
                  <w:u w:val="single"/>
                </w:rPr>
                <w:t>Condensed Consolidated Statements of Operations and Comprehensive Loss for the Three Months and Six Months Ended December 28, 2025 and December 29,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of_sha">
              <w:r>
                <w:rPr>
                  <w:rStyle w:val="InternetLink"/>
                  <w:rFonts w:ascii="Arial" w:hAnsi="Arial"/>
                  <w:color w:val="0000FF"/>
                  <w:sz w:val="18"/>
                  <w:u w:val="single"/>
                </w:rPr>
                <w:t>Condensed Consolidated Statements of Shareholders’ Equity for the Three Months and Six Months Ended December 28, 2025 and December 29,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ind w:left="0" w:right="0" w:firstLine="245"/>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ind w:left="0" w:right="0" w:firstLine="245"/>
              <w:jc w:val="left"/>
              <w:rPr/>
            </w:pPr>
            <w:hyperlink w:anchor="condensed_consolidated_statements_cash_f">
              <w:r>
                <w:rPr>
                  <w:rStyle w:val="InternetLink"/>
                  <w:rFonts w:ascii="Arial" w:hAnsi="Arial"/>
                  <w:color w:val="0000FF"/>
                  <w:sz w:val="18"/>
                  <w:u w:val="single"/>
                </w:rPr>
                <w:t>Condensed Consolidated Statements of Cash Flows for the Six Months Ended December 28, 2025 and December 29, 2024</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4</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notes_to_condensed_consolidated_financia">
              <w:r>
                <w:rPr>
                  <w:rStyle w:val="InternetLink"/>
                  <w:rFonts w:ascii="Arial" w:hAnsi="Arial"/>
                  <w:color w:val="0000FF"/>
                  <w:sz w:val="18"/>
                  <w:u w:val="single"/>
                </w:rPr>
                <w:t>Notes to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5</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2.</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Arial" w:hAnsi="Arial"/>
                  <w:color w:val="0000FF"/>
                  <w:sz w:val="18"/>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14</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3.</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Arial" w:hAnsi="Arial"/>
                  <w:color w:val="0000FF"/>
                  <w:sz w:val="18"/>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4.</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Arial" w:hAnsi="Arial"/>
                  <w:color w:val="0000FF"/>
                  <w:sz w:val="18"/>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29</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0205" w:type="dxa"/>
            <w:gridSpan w:val="5"/>
            <w:tcBorders/>
            <w:tcMar>
              <w:top w:w="0" w:type="dxa"/>
              <w:left w:w="0" w:type="dxa"/>
              <w:bottom w:w="0" w:type="dxa"/>
              <w:right w:w="0" w:type="dxa"/>
            </w:tcMar>
            <w:vAlign w:val="center"/>
          </w:tcPr>
          <w:p>
            <w:pPr>
              <w:pStyle w:val="TableContents"/>
              <w:bidi w:val="0"/>
              <w:spacing w:before="0" w:after="283"/>
              <w:jc w:val="center"/>
              <w:rPr/>
            </w:pPr>
            <w:hyperlink w:anchor="part_ii_or_information">
              <w:r>
                <w:rPr>
                  <w:rStyle w:val="InternetLink"/>
                  <w:rFonts w:ascii="Arial" w:hAnsi="Arial"/>
                  <w:b/>
                  <w:color w:val="0000FF"/>
                  <w:sz w:val="18"/>
                  <w:u w:val="single"/>
                </w:rPr>
                <w:t>PART II—OTHER INFORMATION</w:t>
              </w:r>
            </w:hyperlink>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Arial" w:hAnsi="Arial"/>
                  <w:color w:val="0000FF"/>
                  <w:sz w:val="18"/>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1A.</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risk_factors">
              <w:r>
                <w:rPr>
                  <w:rStyle w:val="InternetLink"/>
                  <w:rFonts w:ascii="Arial" w:hAnsi="Arial"/>
                  <w:color w:val="0000FF"/>
                  <w:sz w:val="18"/>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5.</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other_information">
              <w:r>
                <w:rPr>
                  <w:rStyle w:val="InternetLink"/>
                  <w:rFonts w:ascii="Arial" w:hAnsi="Arial"/>
                  <w:color w:val="0000FF"/>
                  <w:sz w:val="18"/>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30</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8"/>
              </w:rPr>
            </w:pPr>
            <w:r>
              <w:rPr>
                <w:rFonts w:ascii="Arial" w:hAnsi="Arial"/>
                <w:color w:val="000000"/>
                <w:sz w:val="18"/>
              </w:rPr>
              <w:t>Item 6.</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Arial" w:hAnsi="Arial"/>
                  <w:color w:val="0000FF"/>
                  <w:sz w:val="18"/>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31</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Arial" w:hAnsi="Arial"/>
                  <w:color w:val="0000FF"/>
                  <w:sz w:val="18"/>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rFonts w:ascii="Arial" w:hAnsi="Arial"/>
                <w:color w:val="000000"/>
                <w:sz w:val="18"/>
              </w:rPr>
            </w:pPr>
            <w:r>
              <w:rPr>
                <w:rFonts w:ascii="Arial" w:hAnsi="Arial"/>
                <w:color w:val="000000"/>
                <w:sz w:val="18"/>
              </w:rPr>
              <w:t>32</w:t>
            </w:r>
          </w:p>
        </w:tc>
      </w:tr>
      <w:tr>
        <w:trPr/>
        <w:tc>
          <w:tcPr>
            <w:tcW w:w="639" w:type="dxa"/>
            <w:tcBorders/>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tcMar>
              <w:top w:w="0" w:type="dxa"/>
              <w:left w:w="0" w:type="dxa"/>
              <w:bottom w:w="0" w:type="dxa"/>
              <w:right w:w="0" w:type="dxa"/>
            </w:tcMar>
            <w:vAlign w:val="center"/>
          </w:tcPr>
          <w:p>
            <w:pPr>
              <w:pStyle w:val="TableContents"/>
              <w:bidi w:val="0"/>
              <w:spacing w:before="0" w:after="283"/>
              <w:jc w:val="left"/>
              <w:rPr/>
            </w:pPr>
            <w:r>
              <w:rPr/>
              <w:t> </w:t>
            </w:r>
          </w:p>
        </w:tc>
        <w:tc>
          <w:tcPr>
            <w:tcW w:w="84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2" w:name="part_i_financial_information"/>
      <w:bookmarkEnd w:id="2"/>
      <w:r>
        <w:rPr>
          <w:rFonts w:ascii="Arial" w:hAnsi="Arial"/>
          <w:b/>
          <w:color w:val="000000"/>
          <w:sz w:val="16"/>
        </w:rPr>
        <w:t>PART I—FINANCIAL INFORMATION</w:t>
      </w:r>
    </w:p>
    <w:p>
      <w:pPr>
        <w:pStyle w:val="TextBody"/>
        <w:bidi w:val="0"/>
        <w:spacing w:before="240" w:after="283"/>
        <w:jc w:val="left"/>
        <w:rPr>
          <w:rFonts w:ascii="Times New Roman" w:hAnsi="Times New Roman"/>
          <w:sz w:val="20"/>
        </w:rPr>
      </w:pPr>
      <w:bookmarkStart w:id="3" w:name="item_1_financial_statements"/>
      <w:bookmarkEnd w:id="3"/>
      <w:r>
        <w:rPr>
          <w:rFonts w:ascii="Arial" w:hAnsi="Arial"/>
          <w:b/>
          <w:color w:val="000000"/>
          <w:sz w:val="16"/>
        </w:rPr>
        <w:t>Item 1.</w:t>
      </w:r>
      <w:r>
        <w:rPr>
          <w:rFonts w:ascii="Times New Roman" w:hAnsi="Times New Roman"/>
          <w:color w:val="000000"/>
          <w:sz w:val="20"/>
        </w:rPr>
        <w:t xml:space="preserve"> </w:t>
      </w:r>
      <w:r>
        <w:rPr>
          <w:rFonts w:ascii="Arial" w:hAnsi="Arial"/>
          <w:b/>
          <w:color w:val="000000"/>
          <w:sz w:val="16"/>
        </w:rPr>
        <w:t>Financial Statements</w:t>
      </w:r>
    </w:p>
    <w:p>
      <w:pPr>
        <w:pStyle w:val="TextBody"/>
        <w:bidi w:val="0"/>
        <w:spacing w:before="240" w:after="283"/>
        <w:jc w:val="center"/>
        <w:rPr>
          <w:rFonts w:ascii="Arial" w:hAnsi="Arial"/>
          <w:b/>
          <w:color w:val="000000"/>
          <w:sz w:val="16"/>
        </w:rPr>
      </w:pPr>
      <w:bookmarkStart w:id="4" w:name="condensed_consolidated_balance_sheets_un"/>
      <w:bookmarkEnd w:id="4"/>
      <w:r>
        <w:rPr>
          <w:rFonts w:ascii="Arial" w:hAnsi="Arial"/>
          <w:b/>
          <w:color w:val="000000"/>
          <w:sz w:val="16"/>
        </w:rPr>
        <w:t>CONDENSED CONSOLIDATED BALANCE SHEETS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 except share and per share amounts)</w:t>
      </w:r>
    </w:p>
    <w:tbl>
      <w:tblPr>
        <w:tblW w:w="10205" w:type="dxa"/>
        <w:jc w:val="left"/>
        <w:tblInd w:w="0" w:type="dxa"/>
        <w:tblLayout w:type="fixed"/>
        <w:tblCellMar>
          <w:top w:w="28" w:type="dxa"/>
          <w:left w:w="28" w:type="dxa"/>
          <w:bottom w:w="28" w:type="dxa"/>
          <w:right w:w="28" w:type="dxa"/>
        </w:tblCellMar>
      </w:tblPr>
      <w:tblGrid>
        <w:gridCol w:w="6805"/>
        <w:gridCol w:w="146"/>
        <w:gridCol w:w="345"/>
        <w:gridCol w:w="1218"/>
        <w:gridCol w:w="166"/>
        <w:gridCol w:w="146"/>
        <w:gridCol w:w="257"/>
        <w:gridCol w:w="908"/>
        <w:gridCol w:w="214"/>
      </w:tblGrid>
      <w:tr>
        <w:trPr/>
        <w:tc>
          <w:tcPr>
            <w:tcW w:w="68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75,383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103,085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122,929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199,088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235,627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166,207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172,923</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7,879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5,535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4,904</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426,868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2,368</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18,899</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49,859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70,943</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1,224</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152,915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177,397</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Commitments and contingencies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Common stock, $0.10</w:t>
            </w:r>
            <w:r>
              <w:rPr>
                <w:rFonts w:ascii="Times New Roman" w:hAnsi="Times New Roman"/>
                <w:color w:val="000000"/>
                <w:sz w:val="20"/>
              </w:rPr>
              <w:t> </w:t>
            </w:r>
            <w:r>
              <w:rPr>
                <w:rFonts w:ascii="Arial" w:hAnsi="Arial"/>
                <w:color w:val="000000"/>
                <w:sz w:val="16"/>
              </w:rPr>
              <w:t>par value (500,000,000</w:t>
            </w:r>
            <w:r>
              <w:rPr>
                <w:rFonts w:ascii="Times New Roman" w:hAnsi="Times New Roman"/>
                <w:color w:val="000000"/>
                <w:sz w:val="20"/>
              </w:rPr>
              <w:t> </w:t>
            </w:r>
            <w:r>
              <w:rPr>
                <w:rFonts w:ascii="Arial" w:hAnsi="Arial"/>
                <w:color w:val="000000"/>
                <w:sz w:val="16"/>
              </w:rPr>
              <w:t>shares authorized; 18,578,213</w:t>
            </w:r>
            <w:r>
              <w:rPr>
                <w:rFonts w:ascii="Times New Roman" w:hAnsi="Times New Roman"/>
                <w:color w:val="000000"/>
                <w:sz w:val="20"/>
              </w:rPr>
              <w:t> </w:t>
            </w:r>
            <w:r>
              <w:rPr>
                <w:rFonts w:ascii="Arial" w:hAnsi="Arial"/>
                <w:color w:val="000000"/>
                <w:sz w:val="16"/>
              </w:rPr>
              <w:t>and 18,360,663</w:t>
              <w:br/>
              <w:t>   shares issued and outstanding as of December 28, 2025 and June 29,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1,836</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in excess of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75,442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74,095</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217,986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239,049</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(65,509</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8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shareholders’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229,998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249,471</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8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liabilities and shareholders’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382,913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426,868</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color w:val="000000"/>
          <w:sz w:val="16"/>
        </w:rPr>
      </w:pPr>
      <w:r>
        <w:rPr>
          <w:rFonts w:ascii="Arial" w:hAnsi="Arial"/>
          <w:color w:val="000000"/>
          <w:sz w:val="16"/>
        </w:rPr>
        <w:t>See accompanying notes to condensed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5" w:name="condensed_consolidated_statements_income"/>
      <w:bookmarkEnd w:id="5"/>
      <w:r>
        <w:rPr>
          <w:rFonts w:ascii="Arial" w:hAnsi="Arial"/>
          <w:b/>
          <w:color w:val="000000"/>
          <w:sz w:val="16"/>
        </w:rPr>
        <w:t>CONDENSED CONSOLIDATED STATEMENTS OF OPERATIONS AND COMPREHENSIVE LOSS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 except per share amounts)</w:t>
      </w:r>
    </w:p>
    <w:tbl>
      <w:tblPr>
        <w:tblW w:w="10205" w:type="dxa"/>
        <w:jc w:val="left"/>
        <w:tblInd w:w="0" w:type="dxa"/>
        <w:tblLayout w:type="fixed"/>
        <w:tblCellMar>
          <w:top w:w="28" w:type="dxa"/>
          <w:left w:w="28" w:type="dxa"/>
          <w:bottom w:w="28" w:type="dxa"/>
          <w:right w:w="28" w:type="dxa"/>
        </w:tblCellMar>
      </w:tblPr>
      <w:tblGrid>
        <w:gridCol w:w="3003"/>
        <w:gridCol w:w="146"/>
        <w:gridCol w:w="324"/>
        <w:gridCol w:w="1141"/>
        <w:gridCol w:w="184"/>
        <w:gridCol w:w="161"/>
        <w:gridCol w:w="324"/>
        <w:gridCol w:w="1141"/>
        <w:gridCol w:w="166"/>
        <w:gridCol w:w="146"/>
        <w:gridCol w:w="324"/>
        <w:gridCol w:w="1141"/>
        <w:gridCol w:w="170"/>
        <w:gridCol w:w="150"/>
        <w:gridCol w:w="324"/>
        <w:gridCol w:w="1141"/>
        <w:gridCol w:w="219"/>
      </w:tblGrid>
      <w:tr>
        <w:trPr/>
        <w:tc>
          <w:tcPr>
            <w:tcW w:w="300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7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121,368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257,042</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286,252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117,757</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250,044</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276,260</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3,611</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6,998</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9,992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9,713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21,661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24,763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(benefit)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343</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(16,909</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(10,780</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1,802</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4,905</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(8,754</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(19,915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(15,502</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w:t>
            </w:r>
          </w:p>
        </w:tc>
        <w:tc>
          <w:tcPr>
            <w:tcW w:w="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(9,706</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986" w:type="dxa"/>
            <w:gridSpan w:val="16"/>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 per common share:</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(0.53</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0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(0.53</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40" w:after="283"/>
        <w:jc w:val="center"/>
        <w:rPr/>
      </w:pPr>
      <w:r>
        <w:rPr/>
        <w:t> </w:t>
      </w:r>
    </w:p>
    <w:p>
      <w:pPr>
        <w:pStyle w:val="TextBody"/>
        <w:bidi w:val="0"/>
        <w:spacing w:before="40" w:after="283"/>
        <w:jc w:val="left"/>
        <w:rPr>
          <w:rFonts w:ascii="Arial" w:hAnsi="Arial"/>
          <w:b/>
          <w:color w:val="000000"/>
          <w:sz w:val="16"/>
        </w:rPr>
      </w:pPr>
      <w:r>
        <w:rPr>
          <w:rFonts w:ascii="Arial" w:hAnsi="Arial"/>
          <w:b/>
          <w:color w:val="000000"/>
          <w:sz w:val="16"/>
        </w:rPr>
        <w:t>Comprehensive loss: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80"/>
        <w:gridCol w:w="146"/>
        <w:gridCol w:w="343"/>
        <w:gridCol w:w="1148"/>
        <w:gridCol w:w="190"/>
        <w:gridCol w:w="167"/>
        <w:gridCol w:w="343"/>
        <w:gridCol w:w="1148"/>
        <w:gridCol w:w="166"/>
        <w:gridCol w:w="146"/>
        <w:gridCol w:w="341"/>
        <w:gridCol w:w="1150"/>
        <w:gridCol w:w="175"/>
        <w:gridCol w:w="153"/>
        <w:gridCol w:w="341"/>
        <w:gridCol w:w="1150"/>
        <w:gridCol w:w="218"/>
      </w:tblGrid>
      <w:tr>
        <w:trPr/>
        <w:tc>
          <w:tcPr>
            <w:tcW w:w="28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(9,706</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Foreign currency translation adjustments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(1,958</w:t>
            </w:r>
          </w:p>
        </w:tc>
        <w:tc>
          <w:tcPr>
            <w:tcW w:w="1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(12,206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(8,718</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(1,958</w:t>
            </w:r>
          </w:p>
        </w:tc>
        <w:tc>
          <w:tcPr>
            <w:tcW w:w="1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(8,718</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Comprehensive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(11,664</w:t>
            </w:r>
          </w:p>
        </w:tc>
        <w:tc>
          <w:tcPr>
            <w:tcW w:w="1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(23,598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(20,842</w:t>
            </w:r>
          </w:p>
        </w:tc>
        <w:tc>
          <w:tcPr>
            <w:tcW w:w="17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(27,742</w:t>
            </w:r>
          </w:p>
        </w:tc>
        <w:tc>
          <w:tcPr>
            <w:tcW w:w="2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center"/>
        <w:rPr/>
      </w:pPr>
      <w:r>
        <w:rPr/>
        <w:t> </w:t>
      </w:r>
    </w:p>
    <w:p>
      <w:pPr>
        <w:pStyle w:val="TextBody"/>
        <w:bidi w:val="0"/>
        <w:jc w:val="center"/>
        <w:rPr>
          <w:rFonts w:ascii="Arial" w:hAnsi="Arial"/>
          <w:color w:val="000000"/>
          <w:sz w:val="16"/>
        </w:rPr>
      </w:pPr>
      <w:r>
        <w:rPr>
          <w:rFonts w:ascii="Arial" w:hAnsi="Arial"/>
          <w:color w:val="000000"/>
          <w:sz w:val="16"/>
        </w:rPr>
        <w:t>See accompanying notes to condensed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center"/>
        <w:rPr>
          <w:rFonts w:ascii="Arial" w:hAnsi="Arial"/>
          <w:b/>
          <w:color w:val="000000"/>
          <w:sz w:val="16"/>
        </w:rPr>
      </w:pPr>
      <w:bookmarkStart w:id="6" w:name="condensed_consolidated_statements_of_sha"/>
      <w:bookmarkEnd w:id="6"/>
      <w:r>
        <w:rPr>
          <w:rFonts w:ascii="Arial" w:hAnsi="Arial"/>
          <w:b/>
          <w:color w:val="000000"/>
          <w:sz w:val="16"/>
        </w:rPr>
        <w:t>CONDENSED CONSOLIDATED STATEMENTS OF SHAREHOLDERS’ EQUITY</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35"/>
        <w:gridCol w:w="146"/>
        <w:gridCol w:w="146"/>
        <w:gridCol w:w="601"/>
        <w:gridCol w:w="151"/>
        <w:gridCol w:w="146"/>
        <w:gridCol w:w="226"/>
        <w:gridCol w:w="590"/>
        <w:gridCol w:w="151"/>
        <w:gridCol w:w="146"/>
        <w:gridCol w:w="249"/>
        <w:gridCol w:w="766"/>
        <w:gridCol w:w="151"/>
        <w:gridCol w:w="146"/>
        <w:gridCol w:w="213"/>
        <w:gridCol w:w="753"/>
        <w:gridCol w:w="151"/>
        <w:gridCol w:w="146"/>
        <w:gridCol w:w="354"/>
        <w:gridCol w:w="1170"/>
        <w:gridCol w:w="151"/>
        <w:gridCol w:w="146"/>
        <w:gridCol w:w="280"/>
        <w:gridCol w:w="990"/>
        <w:gridCol w:w="201"/>
      </w:tblGrid>
      <w:tr>
        <w:trPr/>
        <w:tc>
          <w:tcPr>
            <w:tcW w:w="2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 in Excess of 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Retained 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 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 Shareholders’ Equity</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Balance at September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18,361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74,896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227,692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(63,330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241,094</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Conversion of equity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807</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Common stock withheld in satisfaction of tax withholding obligations under net share settle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Other comprehensive loss,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(1,958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(1,958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(9,706</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(9,706</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Balance at December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18,578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75,442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217,986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(65,288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229,998</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35"/>
        <w:gridCol w:w="146"/>
        <w:gridCol w:w="146"/>
        <w:gridCol w:w="601"/>
        <w:gridCol w:w="151"/>
        <w:gridCol w:w="146"/>
        <w:gridCol w:w="226"/>
        <w:gridCol w:w="590"/>
        <w:gridCol w:w="151"/>
        <w:gridCol w:w="146"/>
        <w:gridCol w:w="249"/>
        <w:gridCol w:w="766"/>
        <w:gridCol w:w="151"/>
        <w:gridCol w:w="146"/>
        <w:gridCol w:w="213"/>
        <w:gridCol w:w="753"/>
        <w:gridCol w:w="151"/>
        <w:gridCol w:w="146"/>
        <w:gridCol w:w="354"/>
        <w:gridCol w:w="1170"/>
        <w:gridCol w:w="151"/>
        <w:gridCol w:w="146"/>
        <w:gridCol w:w="280"/>
        <w:gridCol w:w="990"/>
        <w:gridCol w:w="201"/>
      </w:tblGrid>
      <w:tr>
        <w:trPr/>
        <w:tc>
          <w:tcPr>
            <w:tcW w:w="2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 in Excess of 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Retained 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 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 Shareholders’ Equity</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Balance at June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18,361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1,836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74,095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239,049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(65,509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249,471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Conversion of equity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1,608</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Common stock withheld in satisfaction of tax withholding obligations under net share settle transactions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(239</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221</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(21,063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(21,063</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Balance at December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18,578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1,858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75,442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217,986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(65,288</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9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229,998</w:t>
            </w:r>
          </w:p>
        </w:tc>
        <w:tc>
          <w:tcPr>
            <w:tcW w:w="2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35"/>
        <w:gridCol w:w="146"/>
        <w:gridCol w:w="146"/>
        <w:gridCol w:w="601"/>
        <w:gridCol w:w="151"/>
        <w:gridCol w:w="146"/>
        <w:gridCol w:w="226"/>
        <w:gridCol w:w="590"/>
        <w:gridCol w:w="151"/>
        <w:gridCol w:w="146"/>
        <w:gridCol w:w="249"/>
        <w:gridCol w:w="766"/>
        <w:gridCol w:w="151"/>
        <w:gridCol w:w="146"/>
        <w:gridCol w:w="213"/>
        <w:gridCol w:w="753"/>
        <w:gridCol w:w="151"/>
        <w:gridCol w:w="146"/>
        <w:gridCol w:w="354"/>
        <w:gridCol w:w="1170"/>
        <w:gridCol w:w="151"/>
        <w:gridCol w:w="146"/>
        <w:gridCol w:w="280"/>
        <w:gridCol w:w="990"/>
        <w:gridCol w:w="201"/>
      </w:tblGrid>
      <w:tr>
        <w:trPr/>
        <w:tc>
          <w:tcPr>
            <w:tcW w:w="2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 in Excess of 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Retained 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 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 Shareholders’ Equity</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Balance at September 29,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18,257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71,419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251,765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(65,301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259,709</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Conversion of equity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1,223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1,223</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Common stock withheld in satisfaction of tax withholding obligations under net share settle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(12,206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(12,206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(11,392</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(11,392</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Balance at December 29,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18,345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72,490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240,373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(77,507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237,191</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left"/>
        <w:rPr/>
      </w:pPr>
      <w:r>
        <w:rPr/>
        <w:t> </w:t>
      </w:r>
    </w:p>
    <w:p>
      <w:pPr>
        <w:pStyle w:val="TextBody"/>
        <w:bidi w:val="0"/>
        <w:spacing w:before="4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035"/>
        <w:gridCol w:w="146"/>
        <w:gridCol w:w="146"/>
        <w:gridCol w:w="601"/>
        <w:gridCol w:w="151"/>
        <w:gridCol w:w="146"/>
        <w:gridCol w:w="226"/>
        <w:gridCol w:w="590"/>
        <w:gridCol w:w="151"/>
        <w:gridCol w:w="146"/>
        <w:gridCol w:w="249"/>
        <w:gridCol w:w="766"/>
        <w:gridCol w:w="151"/>
        <w:gridCol w:w="146"/>
        <w:gridCol w:w="213"/>
        <w:gridCol w:w="753"/>
        <w:gridCol w:w="151"/>
        <w:gridCol w:w="146"/>
        <w:gridCol w:w="354"/>
        <w:gridCol w:w="1170"/>
        <w:gridCol w:w="151"/>
        <w:gridCol w:w="146"/>
        <w:gridCol w:w="280"/>
        <w:gridCol w:w="990"/>
        <w:gridCol w:w="201"/>
      </w:tblGrid>
      <w:tr>
        <w:trPr/>
        <w:tc>
          <w:tcPr>
            <w:tcW w:w="203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Shares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Common Stock</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Capital in Excess of Par Value</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Retained Earnings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Accumulated Other Comprehensive Loss</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5"/>
              </w:rPr>
            </w:pPr>
            <w:r>
              <w:rPr>
                <w:rFonts w:ascii="Arial" w:hAnsi="Arial"/>
                <w:b/>
                <w:color w:val="000000"/>
                <w:sz w:val="15"/>
              </w:rPr>
              <w:t>Total Shareholders’ Equity</w:t>
            </w:r>
          </w:p>
        </w:tc>
        <w:tc>
          <w:tcPr>
            <w:tcW w:w="2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Balance at June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70,952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259,397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(68,789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263,385</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Options exercised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36</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Conversion of equity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1,658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Common stock withheld in satisfaction of tax withholding obligations under net share settle transactions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(146</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(8,718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(8,718</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(19,024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(19,024</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r>
      <w:tr>
        <w:trPr/>
        <w:tc>
          <w:tcPr>
            <w:tcW w:w="203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Balance at December 29,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18,345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5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1,835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72,490</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7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240,373</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1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(77,507</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5"/>
              </w:rPr>
            </w:pPr>
            <w:r>
              <w:rPr>
                <w:rFonts w:ascii="Arial" w:hAnsi="Arial"/>
                <w:color w:val="000000"/>
                <w:sz w:val="15"/>
              </w:rPr>
              <w:t>$</w:t>
            </w:r>
          </w:p>
        </w:tc>
        <w:tc>
          <w:tcPr>
            <w:tcW w:w="99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5"/>
              </w:rPr>
            </w:pPr>
            <w:r>
              <w:rPr>
                <w:rFonts w:ascii="Arial" w:hAnsi="Arial"/>
                <w:color w:val="000000"/>
                <w:sz w:val="15"/>
              </w:rPr>
              <w:t>237,191</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pPr>
      <w:r>
        <w:rPr/>
        <w:t> </w:t>
      </w:r>
    </w:p>
    <w:p>
      <w:pPr>
        <w:pStyle w:val="TextBody"/>
        <w:bidi w:val="0"/>
        <w:spacing w:before="120" w:after="283"/>
        <w:jc w:val="center"/>
        <w:rPr>
          <w:rFonts w:ascii="Arial" w:hAnsi="Arial"/>
          <w:color w:val="000000"/>
          <w:sz w:val="16"/>
        </w:rPr>
      </w:pPr>
      <w:r>
        <w:rPr>
          <w:rFonts w:ascii="Arial" w:hAnsi="Arial"/>
          <w:color w:val="000000"/>
          <w:sz w:val="16"/>
        </w:rPr>
        <w:t>See accompanying notes to condensed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7" w:name="condensed_consolidated_statements_cash_f"/>
      <w:bookmarkEnd w:id="7"/>
      <w:r>
        <w:rPr>
          <w:rFonts w:ascii="Arial" w:hAnsi="Arial"/>
          <w:b/>
          <w:color w:val="000000"/>
          <w:sz w:val="16"/>
        </w:rPr>
        <w:t>CONDENSED CONSOLIDATED STATEMENTS OF CASH FLOWS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rFonts w:ascii="Arial" w:hAnsi="Arial"/>
          <w:b/>
          <w:color w:val="000000"/>
          <w:sz w:val="16"/>
        </w:rPr>
      </w:pPr>
      <w:r>
        <w:rPr>
          <w:rFonts w:ascii="Arial" w:hAnsi="Arial"/>
          <w:b/>
          <w:color w:val="000000"/>
          <w:sz w:val="16"/>
        </w:rPr>
        <w:t>(In thousands)</w:t>
      </w:r>
    </w:p>
    <w:tbl>
      <w:tblPr>
        <w:tblW w:w="10205" w:type="dxa"/>
        <w:jc w:val="left"/>
        <w:tblInd w:w="0" w:type="dxa"/>
        <w:tblLayout w:type="fixed"/>
        <w:tblCellMar>
          <w:top w:w="28" w:type="dxa"/>
          <w:left w:w="28" w:type="dxa"/>
          <w:bottom w:w="28" w:type="dxa"/>
          <w:right w:w="28" w:type="dxa"/>
        </w:tblCellMar>
      </w:tblPr>
      <w:tblGrid>
        <w:gridCol w:w="6186"/>
        <w:gridCol w:w="146"/>
        <w:gridCol w:w="358"/>
        <w:gridCol w:w="1209"/>
        <w:gridCol w:w="173"/>
        <w:gridCol w:w="152"/>
        <w:gridCol w:w="346"/>
        <w:gridCol w:w="1221"/>
        <w:gridCol w:w="414"/>
      </w:tblGrid>
      <w:tr>
        <w:trPr/>
        <w:tc>
          <w:tcPr>
            <w:tcW w:w="61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5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beginning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26,805</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Adjustments to reconcile net loss to net cash provided (used)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11,925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12,881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1,608</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Changes in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17,540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8,228</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19,965</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(4,841</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2,632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(1,771</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4,461</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(845</w:t>
            </w:r>
          </w:p>
        </w:tc>
        <w:tc>
          <w:tcPr>
            <w:tcW w:w="4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(21,203</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(8,155</w:t>
            </w:r>
          </w:p>
        </w:tc>
        <w:tc>
          <w:tcPr>
            <w:tcW w:w="4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Other,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555</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(used)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16,362</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(15,004</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(3,084</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(4,944</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the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8,094</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209"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(2,583</w:t>
            </w:r>
          </w:p>
        </w:tc>
        <w:tc>
          <w:tcPr>
            <w:tcW w:w="17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122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3,150</w:t>
            </w:r>
          </w:p>
        </w:tc>
        <w:tc>
          <w:tcPr>
            <w:tcW w:w="41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Proceeds from ABL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101,451</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on ABL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(65,600</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(90,351</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on ABL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(4,600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(4,600</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on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0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(1,507</w:t>
            </w:r>
          </w:p>
        </w:tc>
        <w:tc>
          <w:tcPr>
            <w:tcW w:w="17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(1,596</w:t>
            </w:r>
          </w:p>
        </w:tc>
        <w:tc>
          <w:tcPr>
            <w:tcW w:w="41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(used)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(6,547</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4,598</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 of exchange rate changes on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w:t>
            </w:r>
          </w:p>
        </w:tc>
        <w:tc>
          <w:tcPr>
            <w:tcW w:w="1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(880</w:t>
            </w:r>
          </w:p>
        </w:tc>
        <w:tc>
          <w:tcPr>
            <w:tcW w:w="4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1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increase (decrease)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7,528</w:t>
            </w:r>
          </w:p>
        </w:tc>
        <w:tc>
          <w:tcPr>
            <w:tcW w:w="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(8,136</w:t>
            </w:r>
          </w:p>
        </w:tc>
        <w:tc>
          <w:tcPr>
            <w:tcW w:w="4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61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0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30,192</w:t>
            </w:r>
          </w:p>
        </w:tc>
        <w:tc>
          <w:tcPr>
            <w:tcW w:w="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18,669</w:t>
            </w:r>
          </w:p>
        </w:tc>
        <w:tc>
          <w:tcPr>
            <w:tcW w:w="4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40" w:after="283"/>
        <w:jc w:val="center"/>
        <w:rPr>
          <w:rFonts w:ascii="Arial" w:hAnsi="Arial"/>
          <w:color w:val="000000"/>
          <w:sz w:val="16"/>
        </w:rPr>
      </w:pPr>
      <w:r>
        <w:rPr>
          <w:rFonts w:ascii="Arial" w:hAnsi="Arial"/>
          <w:color w:val="000000"/>
          <w:sz w:val="16"/>
        </w:rPr>
        <w:t>See accompanying notes to condensed consolidated financial statements.</w:t>
      </w:r>
    </w:p>
    <w:p>
      <w:pPr>
        <w:pStyle w:val="TextBody"/>
        <w:bidi w:val="0"/>
        <w:spacing w:before="240" w:after="283"/>
        <w:jc w:val="center"/>
        <w:rPr>
          <w:rFonts w:ascii="Arial" w:hAnsi="Arial"/>
          <w:color w:val="000000"/>
          <w:sz w:val="16"/>
        </w:rPr>
      </w:pPr>
      <w:r>
        <w:rPr>
          <w:rFonts w:ascii="Arial" w:hAnsi="Arial"/>
          <w:color w:val="000000"/>
          <w:sz w:val="16"/>
        </w:rPr>
        <w:t>4</w:t>
      </w:r>
    </w:p>
    <w:p>
      <w:pPr>
        <w:pStyle w:val="HorizontalLine"/>
        <w:pBdr>
          <w:bottom w:val="double" w:sz="2" w:space="0" w:color="808080"/>
        </w:pBdr>
        <w:bidi w:val="0"/>
        <w:spacing w:before="0" w:after="283"/>
        <w:jc w:val="left"/>
        <w:rPr/>
      </w:pPr>
      <w:r>
        <w:rPr/>
      </w:r>
    </w:p>
    <w:p>
      <w:pPr>
        <w:pStyle w:val="TextBody"/>
        <w:bidi w:val="0"/>
        <w:jc w:val="center"/>
        <w:rPr/>
      </w:pPr>
      <w:r>
        <w:rPr/>
        <w:t> </w:t>
      </w:r>
    </w:p>
    <w:p>
      <w:pPr>
        <w:pStyle w:val="TextBody"/>
        <w:bidi w:val="0"/>
        <w:jc w:val="left"/>
        <w:rPr/>
      </w:pPr>
      <w:r>
        <w:rPr/>
        <w:t> </w:t>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Times New Roman" w:hAnsi="Times New Roman"/>
          <w:sz w:val="20"/>
        </w:rPr>
      </w:pPr>
      <w:bookmarkStart w:id="8" w:name="notes_to_condensed_consolidated_financia"/>
      <w:bookmarkEnd w:id="8"/>
      <w:r>
        <w:rPr>
          <w:rFonts w:ascii="Arial" w:hAnsi="Arial"/>
          <w:b/>
          <w:color w:val="000000"/>
          <w:sz w:val="16"/>
        </w:rPr>
        <w:t>Notes to Condensed</w:t>
      </w:r>
      <w:r>
        <w:rPr>
          <w:rFonts w:ascii="Times New Roman" w:hAnsi="Times New Roman"/>
          <w:color w:val="000000"/>
          <w:sz w:val="20"/>
        </w:rPr>
        <w:t xml:space="preserve"> </w:t>
      </w:r>
      <w:r>
        <w:rPr>
          <w:rFonts w:ascii="Arial" w:hAnsi="Arial"/>
          <w:b/>
          <w:color w:val="000000"/>
          <w:sz w:val="16"/>
        </w:rPr>
        <w:t>Consolidated Financial Statements</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both"/>
        <w:rPr/>
      </w:pPr>
      <w:r>
        <w:rPr/>
        <w:t> </w:t>
      </w:r>
    </w:p>
    <w:p>
      <w:pPr>
        <w:pStyle w:val="TextBody"/>
        <w:bidi w:val="0"/>
        <w:jc w:val="both"/>
        <w:rPr>
          <w:rFonts w:ascii="Arial" w:hAnsi="Arial"/>
          <w:b/>
          <w:color w:val="000000"/>
          <w:sz w:val="16"/>
        </w:rPr>
      </w:pPr>
      <w:r>
        <w:rPr>
          <w:rFonts w:ascii="Arial" w:hAnsi="Arial"/>
          <w:b/>
          <w:color w:val="000000"/>
          <w:sz w:val="16"/>
        </w:rPr>
        <w:t>1. Background</w:t>
      </w:r>
    </w:p>
    <w:p>
      <w:pPr>
        <w:pStyle w:val="TextBody"/>
        <w:bidi w:val="0"/>
        <w:spacing w:before="120" w:after="283"/>
        <w:jc w:val="both"/>
        <w:rPr>
          <w:rFonts w:ascii="Arial" w:hAnsi="Arial"/>
          <w:color w:val="000000"/>
          <w:sz w:val="16"/>
        </w:rPr>
      </w:pPr>
      <w:r>
        <w:rPr>
          <w:rFonts w:ascii="Arial" w:hAnsi="Arial"/>
          <w:color w:val="000000"/>
          <w:sz w:val="16"/>
        </w:rPr>
        <w:t>Unifi, Inc., a New York corporation formed in 1969 (together with its subsidiaries, “UNIFI,” the “Company,” “we,” “us,” or “our”), is a multinational company that manufactures and sells innovative recycled and synthetic products, made from polyester and nylon, primarily to other yarn manufacturers and knitters and weavers (UNIFI’s “direct customers”) that produce yarn and/or fabric for the apparel, hosiery, home furnishings, automotive, industrial, medical, and other end-use markets (UNIFI’s “indirect customers”). We sometimes refer to these indirect customers as “brand partners.” Polyester products include partially oriented yarn (“POY”) and textured, solution and package dyed, twisted, beamed, and draw wound yarns, and each is available in virgin or recycled varieties. Recycled solutions, made from both pre-consumer and post-consumer waste, include plastic bottle flake (“Flake”), polyester polymer beads (“Chip”), and staple fiber. Nylon products include virgin or recycled textured, solution dyed, and spandex covered yarns.</w:t>
      </w:r>
    </w:p>
    <w:p>
      <w:pPr>
        <w:pStyle w:val="TextBody"/>
        <w:bidi w:val="0"/>
        <w:spacing w:before="240" w:after="283"/>
        <w:jc w:val="both"/>
        <w:rPr>
          <w:rFonts w:ascii="Times New Roman" w:hAnsi="Times New Roman"/>
          <w:sz w:val="20"/>
        </w:rPr>
      </w:pPr>
      <w:r>
        <w:rPr>
          <w:rFonts w:ascii="Arial" w:hAnsi="Arial"/>
          <w:color w:val="000000"/>
          <w:sz w:val="16"/>
        </w:rPr>
        <w:t>UNIFI maintains one of the textile industry’s most comprehensive product offerings that includes a range of specialized, value-added, and commodity solutions, with principal geographic markets in North America, Central America, South America, Asia, and Europe. UNIFI has direct manufacturing operations in four</w:t>
      </w:r>
      <w:r>
        <w:rPr>
          <w:rFonts w:ascii="Times New Roman" w:hAnsi="Times New Roman"/>
          <w:color w:val="000000"/>
          <w:sz w:val="20"/>
        </w:rPr>
        <w:t xml:space="preserve"> </w:t>
      </w:r>
      <w:r>
        <w:rPr>
          <w:rFonts w:ascii="Arial" w:hAnsi="Arial"/>
          <w:color w:val="000000"/>
          <w:sz w:val="16"/>
        </w:rPr>
        <w:t>countries and participates in a joint venture with operations in the United States (the “U.S.”).</w:t>
      </w:r>
    </w:p>
    <w:p>
      <w:pPr>
        <w:pStyle w:val="TextBody"/>
        <w:bidi w:val="0"/>
        <w:jc w:val="both"/>
        <w:rPr/>
      </w:pPr>
      <w:r>
        <w:rPr/>
        <w:t> </w:t>
      </w:r>
    </w:p>
    <w:p>
      <w:pPr>
        <w:pStyle w:val="TextBody"/>
        <w:bidi w:val="0"/>
        <w:spacing w:before="200" w:after="283"/>
        <w:jc w:val="both"/>
        <w:rPr>
          <w:rFonts w:ascii="Arial" w:hAnsi="Arial"/>
          <w:b/>
          <w:color w:val="000000"/>
          <w:sz w:val="16"/>
        </w:rPr>
      </w:pPr>
      <w:r>
        <w:rPr>
          <w:rFonts w:ascii="Arial" w:hAnsi="Arial"/>
          <w:b/>
          <w:color w:val="000000"/>
          <w:sz w:val="16"/>
        </w:rPr>
        <w:t>2. Basis of Presentation; Condensed Notes</w:t>
      </w:r>
    </w:p>
    <w:p>
      <w:pPr>
        <w:pStyle w:val="TextBody"/>
        <w:bidi w:val="0"/>
        <w:spacing w:before="120" w:after="283"/>
        <w:jc w:val="both"/>
        <w:rPr>
          <w:rFonts w:ascii="Arial" w:hAnsi="Arial"/>
          <w:color w:val="000000"/>
          <w:sz w:val="16"/>
        </w:rPr>
      </w:pPr>
      <w:r>
        <w:rPr>
          <w:rFonts w:ascii="Arial" w:hAnsi="Arial"/>
          <w:color w:val="000000"/>
          <w:sz w:val="16"/>
        </w:rPr>
        <w:t>The accompanying condensed consolidated financial statements are unaudited and have been prepared in accordance with U.S. generally accepted accounting principles (“GAAP”) for interim financial information. As contemplated by the instructions of the SEC to Form 10-Q, the following notes have been condensed and, therefore, do not contain all disclosures required in connection with annual financial statements. Reference should be made to UNIFI’s year-end audited consolidated financial statements and related notes thereto contained in its Annual Report on Form 10-K for the fiscal year ended June 29, 2025 (the “2025 Form 10-K”).</w:t>
      </w:r>
    </w:p>
    <w:p>
      <w:pPr>
        <w:pStyle w:val="TextBody"/>
        <w:bidi w:val="0"/>
        <w:spacing w:before="240" w:after="283"/>
        <w:jc w:val="both"/>
        <w:rPr>
          <w:rFonts w:ascii="Arial" w:hAnsi="Arial"/>
          <w:color w:val="000000"/>
          <w:sz w:val="16"/>
        </w:rPr>
      </w:pPr>
      <w:r>
        <w:rPr>
          <w:rFonts w:ascii="Arial" w:hAnsi="Arial"/>
          <w:color w:val="000000"/>
          <w:sz w:val="16"/>
        </w:rPr>
        <w:t>The financial information included in this report has been prepared by UNIFI, without audit. In the opinion of management, all adjustments, which consist of normal, recurring adjustments, considered necessary for a fair statement of the results for interim periods have been included. Nevertheless, the results shown for interim periods are not necessarily indicative of results to be expected for the full year. The preparation of financial statements in conformity with GAAP requires management to make use of estimates and assumptions that affect the amounts reported and certain financial statement disclosures. Actual results may vary from these estimates.</w:t>
      </w:r>
    </w:p>
    <w:p>
      <w:pPr>
        <w:pStyle w:val="TextBody"/>
        <w:bidi w:val="0"/>
        <w:spacing w:before="240" w:after="283"/>
        <w:jc w:val="both"/>
        <w:rPr>
          <w:rFonts w:ascii="Arial" w:hAnsi="Arial"/>
          <w:color w:val="000000"/>
          <w:sz w:val="16"/>
        </w:rPr>
      </w:pPr>
      <w:r>
        <w:rPr>
          <w:rFonts w:ascii="Arial" w:hAnsi="Arial"/>
          <w:color w:val="000000"/>
          <w:sz w:val="16"/>
        </w:rPr>
        <w:t>All amounts, except per share amounts, are presented in thousands (000s), except as otherwise noted.</w:t>
      </w:r>
    </w:p>
    <w:p>
      <w:pPr>
        <w:pStyle w:val="TextBody"/>
        <w:bidi w:val="0"/>
        <w:spacing w:before="240" w:after="283"/>
        <w:jc w:val="both"/>
        <w:rPr>
          <w:rFonts w:ascii="Arial" w:hAnsi="Arial"/>
          <w:color w:val="000000"/>
          <w:sz w:val="16"/>
        </w:rPr>
      </w:pPr>
      <w:r>
        <w:rPr>
          <w:rFonts w:ascii="Arial" w:hAnsi="Arial"/>
          <w:color w:val="000000"/>
          <w:sz w:val="16"/>
        </w:rPr>
        <w:t>The fiscal quarter for each of Unifi, Inc., its primary domestic operating subsidiaries and its subsidiary in El Salvador ended on December 28, 2025. Unifi, Inc.’s remaining material operating subsidiaries’ fiscal quarters ended on December 31, 2025. There were no significant transactions or events that occurred between Unifi, Inc.’s fiscal quarter end and such wholly owned subsidiaries’ fiscal quarters end. The three-month periods ended December 28, 2025 and December 29, 2024 both consisted of 13 weeks. The six-month periods ended December 28, 2025 and December 29, 2024 both consisted of 26 weeks.</w:t>
      </w:r>
    </w:p>
    <w:p>
      <w:pPr>
        <w:pStyle w:val="TextBody"/>
        <w:bidi w:val="0"/>
        <w:jc w:val="both"/>
        <w:rPr/>
      </w:pPr>
      <w:r>
        <w:rPr/>
        <w:t> </w:t>
      </w:r>
    </w:p>
    <w:p>
      <w:pPr>
        <w:pStyle w:val="TextBody"/>
        <w:bidi w:val="0"/>
        <w:spacing w:before="200" w:after="283"/>
        <w:jc w:val="both"/>
        <w:rPr>
          <w:rFonts w:ascii="Arial" w:hAnsi="Arial"/>
          <w:b/>
          <w:color w:val="000000"/>
          <w:sz w:val="16"/>
        </w:rPr>
      </w:pPr>
      <w:r>
        <w:rPr>
          <w:rFonts w:ascii="Arial" w:hAnsi="Arial"/>
          <w:b/>
          <w:color w:val="000000"/>
          <w:sz w:val="16"/>
        </w:rPr>
        <w:t>3. Recent Accounting Pronouncements</w:t>
      </w:r>
    </w:p>
    <w:p>
      <w:pPr>
        <w:pStyle w:val="TextBody"/>
        <w:bidi w:val="0"/>
        <w:spacing w:before="120" w:after="283"/>
        <w:jc w:val="both"/>
        <w:rPr>
          <w:rFonts w:ascii="Times New Roman" w:hAnsi="Times New Roman"/>
          <w:sz w:val="20"/>
        </w:rPr>
      </w:pPr>
      <w:r>
        <w:rPr>
          <w:rFonts w:ascii="Arial" w:hAnsi="Arial"/>
          <w:i/>
          <w:color w:val="000000"/>
          <w:sz w:val="16"/>
        </w:rPr>
        <w:t>Issued and Pending Adoption</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6"/>
        </w:rPr>
        <w:t xml:space="preserve">In November 2024, the FASB issued ASU 2024-03, </w:t>
      </w:r>
      <w:r>
        <w:rPr>
          <w:rFonts w:ascii="Arial" w:hAnsi="Arial"/>
          <w:i/>
          <w:color w:val="000000"/>
          <w:sz w:val="16"/>
        </w:rPr>
        <w:t>Income Statement - Reporting Comprehensive Income - Expense Disaggregation Disclosures (Subtopic 220-40): Disaggregation of Income Statement Expenses</w:t>
      </w:r>
      <w:r>
        <w:rPr>
          <w:rFonts w:ascii="Arial" w:hAnsi="Arial"/>
          <w:color w:val="000000"/>
          <w:sz w:val="16"/>
        </w:rPr>
        <w:t>. ASU No. 2024-03 does not change or remove existing expense disclosure requirements but requires disaggregated disclosures about certain expense categories and captions, including but not limited to, purchases of inventory, employee compensation, depreciation, amortization and selling expenses. This ASU will become effective for UNIFI's fiscal 2028 and in the first quarter of fiscal 2029 for interim reporting, with retrospective application permitted. UNIFI is currently evaluating the impact on the Company's disclosures on its consolidated financial statements.</w:t>
      </w:r>
    </w:p>
    <w:p>
      <w:pPr>
        <w:pStyle w:val="TextBody"/>
        <w:bidi w:val="0"/>
        <w:spacing w:before="240" w:after="283"/>
        <w:jc w:val="both"/>
        <w:rPr>
          <w:rFonts w:ascii="Times New Roman" w:hAnsi="Times New Roman"/>
          <w:sz w:val="20"/>
        </w:rPr>
      </w:pPr>
      <w:r>
        <w:rPr>
          <w:rFonts w:ascii="Arial" w:hAnsi="Arial"/>
          <w:color w:val="000000"/>
          <w:sz w:val="16"/>
        </w:rPr>
        <w:t xml:space="preserve">In December 2023, the Financial Accounting Standards Board (the “FASB”) issued Accounting Standards Update (“ASU”) No. 2023-09, </w:t>
      </w:r>
      <w:r>
        <w:rPr>
          <w:rFonts w:ascii="Arial" w:hAnsi="Arial"/>
          <w:i/>
          <w:color w:val="000000"/>
          <w:sz w:val="16"/>
        </w:rPr>
        <w:t>Income Taxes (Topic 740): Improvements to Income Tax Disclosures</w:t>
      </w:r>
      <w:r>
        <w:rPr>
          <w:rFonts w:ascii="Arial" w:hAnsi="Arial"/>
          <w:color w:val="000000"/>
          <w:sz w:val="16"/>
        </w:rPr>
        <w:t>. ASU No. 2023-09 modifies the rules on income tax disclosures to require entities to disclose (i) specific categories in the rate reconciliation, (ii) the income or loss from continuing operations before income tax expense or benefit (separated between domestic and foreign) and (iii) income tax expense or benefit from continuing operations (separated by federal, state, and foreign). The ASU also requires entities to disclose their income tax payments to international, federal, state, and local jurisdictions, among other changes. The ASU is effective for UNIFI's fiscal 2026, with early adoption permitted, and should be applied on a prospective basis, but retrospective application is permitted. UNIFI is currently evaluating the impact on the Company’s disclosures but does not expect this standard will have a material impact on its consolidated financial position, results of operations, or cash flows.</w:t>
      </w:r>
    </w:p>
    <w:p>
      <w:pPr>
        <w:pStyle w:val="TextBody"/>
        <w:bidi w:val="0"/>
        <w:spacing w:before="240" w:after="283"/>
        <w:jc w:val="both"/>
        <w:rPr>
          <w:rFonts w:ascii="Times New Roman" w:hAnsi="Times New Roman"/>
          <w:sz w:val="20"/>
        </w:rPr>
      </w:pPr>
      <w:r>
        <w:rPr>
          <w:rFonts w:ascii="Arial" w:hAnsi="Arial"/>
          <w:color w:val="000000"/>
          <w:sz w:val="16"/>
        </w:rPr>
        <w:t>Based on UNIFI’s review of ASUs issued since the filing of the 2025 Form 10-K, there have been no other newly issued or newly applicable accounting pronouncements that have had, or are expected to have, a material impact on UNIFI’s consolidated financial statements.</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5</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Condensed Consolidated Financial Statements (Continued)</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pPr>
      <w:r>
        <w:rPr/>
        <w:t> </w:t>
      </w:r>
    </w:p>
    <w:p>
      <w:pPr>
        <w:pStyle w:val="TextBody"/>
        <w:bidi w:val="0"/>
        <w:spacing w:before="200" w:after="283"/>
        <w:jc w:val="both"/>
        <w:rPr>
          <w:rFonts w:ascii="Arial" w:hAnsi="Arial"/>
          <w:b/>
          <w:color w:val="000000"/>
          <w:sz w:val="16"/>
        </w:rPr>
      </w:pPr>
      <w:r>
        <w:rPr>
          <w:rFonts w:ascii="Arial" w:hAnsi="Arial"/>
          <w:b/>
          <w:color w:val="000000"/>
          <w:sz w:val="16"/>
        </w:rPr>
        <w:t>4. Revenue</w:t>
      </w:r>
    </w:p>
    <w:p>
      <w:pPr>
        <w:pStyle w:val="TextBody"/>
        <w:bidi w:val="0"/>
        <w:spacing w:before="120" w:after="120"/>
        <w:jc w:val="both"/>
        <w:rPr>
          <w:rFonts w:ascii="Times New Roman" w:hAnsi="Times New Roman"/>
          <w:sz w:val="20"/>
        </w:rPr>
      </w:pPr>
      <w:r>
        <w:rPr>
          <w:rFonts w:ascii="Arial" w:hAnsi="Arial"/>
          <w:color w:val="000000"/>
          <w:sz w:val="16"/>
        </w:rPr>
        <w:t>The following tables present net sales disaggregated by (i) classification of customer type and (ii) REPREVE</w:t>
      </w:r>
      <w:r>
        <w:rPr>
          <w:rFonts w:ascii="Arial" w:hAnsi="Arial"/>
          <w:color w:val="000000"/>
          <w:sz w:val="11"/>
        </w:rPr>
        <w:t>®</w:t>
      </w:r>
      <w:r>
        <w:rPr>
          <w:rFonts w:ascii="Times New Roman" w:hAnsi="Times New Roman"/>
          <w:color w:val="000000"/>
          <w:sz w:val="20"/>
        </w:rPr>
        <w:t xml:space="preserve"> </w:t>
      </w:r>
      <w:r>
        <w:rPr>
          <w:rFonts w:ascii="Arial" w:hAnsi="Arial"/>
          <w:color w:val="000000"/>
          <w:sz w:val="16"/>
        </w:rPr>
        <w:t>Fiber sales:</w:t>
      </w:r>
    </w:p>
    <w:p>
      <w:pPr>
        <w:pStyle w:val="TextBody"/>
        <w:bidi w:val="0"/>
        <w:spacing w:before="120" w:after="283"/>
        <w:jc w:val="both"/>
        <w:rPr>
          <w:rFonts w:ascii="Arial" w:hAnsi="Arial"/>
          <w:i/>
          <w:color w:val="000000"/>
          <w:sz w:val="16"/>
        </w:rPr>
      </w:pPr>
      <w:r>
        <w:rPr>
          <w:rFonts w:ascii="Arial" w:hAnsi="Arial"/>
          <w:i/>
          <w:color w:val="000000"/>
          <w:sz w:val="16"/>
        </w:rPr>
        <w:t>Third-Party Manufacturer</w:t>
      </w:r>
    </w:p>
    <w:p>
      <w:pPr>
        <w:pStyle w:val="TextBody"/>
        <w:bidi w:val="0"/>
        <w:jc w:val="both"/>
        <w:rPr/>
      </w:pPr>
      <w:r>
        <w:rPr/>
        <w:t> </w:t>
      </w:r>
    </w:p>
    <w:tbl>
      <w:tblPr>
        <w:tblW w:w="9518" w:type="dxa"/>
        <w:jc w:val="left"/>
        <w:tblInd w:w="0" w:type="dxa"/>
        <w:tblLayout w:type="fixed"/>
        <w:tblCellMar>
          <w:top w:w="28" w:type="dxa"/>
          <w:left w:w="28" w:type="dxa"/>
          <w:bottom w:w="28" w:type="dxa"/>
          <w:right w:w="28" w:type="dxa"/>
        </w:tblCellMar>
      </w:tblPr>
      <w:tblGrid>
        <w:gridCol w:w="1951"/>
        <w:gridCol w:w="146"/>
        <w:gridCol w:w="347"/>
        <w:gridCol w:w="1228"/>
        <w:gridCol w:w="167"/>
        <w:gridCol w:w="167"/>
        <w:gridCol w:w="347"/>
        <w:gridCol w:w="1228"/>
        <w:gridCol w:w="146"/>
        <w:gridCol w:w="146"/>
        <w:gridCol w:w="348"/>
        <w:gridCol w:w="1227"/>
        <w:gridCol w:w="152"/>
        <w:gridCol w:w="152"/>
        <w:gridCol w:w="348"/>
        <w:gridCol w:w="1227"/>
        <w:gridCol w:w="191"/>
      </w:tblGrid>
      <w:tr>
        <w:trPr/>
        <w:tc>
          <w:tcPr>
            <w:tcW w:w="19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Third-party manufacturer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120,582</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137,873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255,317</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284,092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Service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786</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9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121,368</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257,042</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80" w:after="283"/>
        <w:jc w:val="both"/>
        <w:rPr/>
      </w:pPr>
      <w:r>
        <w:rPr/>
        <w:t> </w:t>
      </w:r>
    </w:p>
    <w:tbl>
      <w:tblPr>
        <w:tblW w:w="9953" w:type="dxa"/>
        <w:jc w:val="left"/>
        <w:tblInd w:w="0" w:type="dxa"/>
        <w:tblLayout w:type="fixed"/>
        <w:tblCellMar>
          <w:top w:w="28" w:type="dxa"/>
          <w:left w:w="28" w:type="dxa"/>
          <w:bottom w:w="28" w:type="dxa"/>
          <w:right w:w="28" w:type="dxa"/>
        </w:tblCellMar>
      </w:tblPr>
      <w:tblGrid>
        <w:gridCol w:w="2386"/>
        <w:gridCol w:w="146"/>
        <w:gridCol w:w="347"/>
        <w:gridCol w:w="1228"/>
        <w:gridCol w:w="167"/>
        <w:gridCol w:w="167"/>
        <w:gridCol w:w="347"/>
        <w:gridCol w:w="1228"/>
        <w:gridCol w:w="146"/>
        <w:gridCol w:w="146"/>
        <w:gridCol w:w="348"/>
        <w:gridCol w:w="1227"/>
        <w:gridCol w:w="152"/>
        <w:gridCol w:w="152"/>
        <w:gridCol w:w="348"/>
        <w:gridCol w:w="1227"/>
        <w:gridCol w:w="1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REPREVE</w:t>
            </w:r>
            <w:r>
              <w:rPr>
                <w:rFonts w:ascii="Arial" w:hAnsi="Arial"/>
                <w:color w:val="000000"/>
                <w:sz w:val="11"/>
              </w:rPr>
              <w:t>®</w:t>
            </w:r>
            <w:r>
              <w:rPr>
                <w:rFonts w:ascii="Times New Roman" w:hAnsi="Times New Roman"/>
                <w:color w:val="000000"/>
                <w:sz w:val="16"/>
              </w:rPr>
              <w:t> </w:t>
            </w:r>
            <w:r>
              <w:rPr>
                <w:rFonts w:ascii="Arial" w:hAnsi="Arial"/>
                <w:color w:val="000000"/>
                <w:sz w:val="16"/>
              </w:rPr>
              <w:t>Fiber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34,264</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43,272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73,536</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88,014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All other products and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87,104</w:t>
            </w:r>
          </w:p>
        </w:tc>
        <w:tc>
          <w:tcPr>
            <w:tcW w:w="1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95,608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183,506</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198,238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121,368</w:t>
            </w:r>
          </w:p>
        </w:tc>
        <w:tc>
          <w:tcPr>
            <w:tcW w:w="1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257,042</w:t>
            </w:r>
          </w:p>
        </w:tc>
        <w:tc>
          <w:tcPr>
            <w:tcW w:w="1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286,252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Arial" w:hAnsi="Arial"/>
          <w:color w:val="000000"/>
          <w:sz w:val="16"/>
        </w:rPr>
      </w:pPr>
      <w:r>
        <w:rPr>
          <w:rFonts w:ascii="Arial" w:hAnsi="Arial"/>
          <w:color w:val="000000"/>
          <w:sz w:val="16"/>
        </w:rPr>
        <w:t>Third-party manufacturer revenue is primarily generated through sales to direct customers. Such sales represent satisfaction of UNIFI’s performance obligations required by the associated revenue contracts. Each of UNIFI’s reportable segments derives revenue from sales to third-party manufacturers.</w:t>
      </w:r>
    </w:p>
    <w:p>
      <w:pPr>
        <w:pStyle w:val="TextBody"/>
        <w:bidi w:val="0"/>
        <w:spacing w:before="240" w:after="283"/>
        <w:jc w:val="both"/>
        <w:rPr>
          <w:rFonts w:ascii="Arial" w:hAnsi="Arial"/>
          <w:i/>
          <w:color w:val="000000"/>
          <w:sz w:val="16"/>
        </w:rPr>
      </w:pPr>
      <w:r>
        <w:rPr>
          <w:rFonts w:ascii="Arial" w:hAnsi="Arial"/>
          <w:i/>
          <w:color w:val="000000"/>
          <w:sz w:val="16"/>
        </w:rPr>
        <w:t>Service Revenue</w:t>
      </w:r>
    </w:p>
    <w:p>
      <w:pPr>
        <w:pStyle w:val="TextBody"/>
        <w:bidi w:val="0"/>
        <w:spacing w:before="120" w:after="283"/>
        <w:jc w:val="both"/>
        <w:rPr>
          <w:rFonts w:ascii="Arial" w:hAnsi="Arial"/>
          <w:color w:val="000000"/>
          <w:sz w:val="16"/>
        </w:rPr>
      </w:pPr>
      <w:r>
        <w:rPr>
          <w:rFonts w:ascii="Arial" w:hAnsi="Arial"/>
          <w:color w:val="000000"/>
          <w:sz w:val="16"/>
        </w:rPr>
        <w:t>Service revenue is primarily generated, as services are rendered, through fulfillment of toll manufacturing of textile products or transportation services governed by written agreements. Such toll manufacturing and transportation services represent satisfaction of UNIFI’s performance obligations required by the associated revenue contracts.</w:t>
      </w:r>
    </w:p>
    <w:p>
      <w:pPr>
        <w:pStyle w:val="TextBody"/>
        <w:bidi w:val="0"/>
        <w:spacing w:before="240" w:after="283"/>
        <w:jc w:val="both"/>
        <w:rPr>
          <w:rFonts w:ascii="Times New Roman" w:hAnsi="Times New Roman"/>
          <w:sz w:val="20"/>
        </w:rPr>
      </w:pPr>
      <w:r>
        <w:rPr>
          <w:rFonts w:ascii="Arial" w:hAnsi="Arial"/>
          <w:i/>
          <w:color w:val="000000"/>
          <w:sz w:val="16"/>
        </w:rPr>
        <w:t>REPREVE</w:t>
      </w:r>
      <w:r>
        <w:rPr>
          <w:rFonts w:ascii="Arial" w:hAnsi="Arial"/>
          <w:color w:val="000000"/>
          <w:sz w:val="11"/>
        </w:rPr>
        <w:t>®</w:t>
      </w:r>
      <w:r>
        <w:rPr>
          <w:rFonts w:ascii="Times New Roman" w:hAnsi="Times New Roman"/>
          <w:color w:val="000000"/>
          <w:sz w:val="20"/>
        </w:rPr>
        <w:t xml:space="preserve"> </w:t>
      </w:r>
      <w:r>
        <w:rPr>
          <w:rFonts w:ascii="Arial" w:hAnsi="Arial"/>
          <w:i/>
          <w:color w:val="000000"/>
          <w:sz w:val="16"/>
        </w:rPr>
        <w:t>Fiber</w:t>
      </w:r>
    </w:p>
    <w:p>
      <w:pPr>
        <w:pStyle w:val="TextBody"/>
        <w:bidi w:val="0"/>
        <w:spacing w:before="120" w:after="283"/>
        <w:jc w:val="both"/>
        <w:rPr>
          <w:rFonts w:ascii="Times New Roman" w:hAnsi="Times New Roman"/>
          <w:sz w:val="20"/>
        </w:rPr>
      </w:pPr>
      <w:r>
        <w:rPr>
          <w:rFonts w:ascii="Arial" w:hAnsi="Arial"/>
          <w:color w:val="000000"/>
          <w:sz w:val="16"/>
        </w:rPr>
        <w:t>REPREVE</w:t>
      </w:r>
      <w:r>
        <w:rPr>
          <w:rFonts w:ascii="Arial" w:hAnsi="Arial"/>
          <w:color w:val="000000"/>
          <w:sz w:val="11"/>
        </w:rPr>
        <w:t>®</w:t>
      </w:r>
      <w:r>
        <w:rPr>
          <w:rFonts w:ascii="Times New Roman" w:hAnsi="Times New Roman"/>
          <w:color w:val="000000"/>
          <w:sz w:val="20"/>
        </w:rPr>
        <w:t xml:space="preserve"> </w:t>
      </w:r>
      <w:r>
        <w:rPr>
          <w:rFonts w:ascii="Arial" w:hAnsi="Arial"/>
          <w:color w:val="000000"/>
          <w:sz w:val="16"/>
        </w:rPr>
        <w:t>Fiber represents UNIFI's collection of fiber products on our recycled platform, with or without added technologies.</w:t>
      </w:r>
    </w:p>
    <w:p>
      <w:pPr>
        <w:pStyle w:val="TextBody"/>
        <w:bidi w:val="0"/>
        <w:jc w:val="left"/>
        <w:rPr/>
      </w:pPr>
      <w:r>
        <w:rPr/>
        <w:t> </w:t>
      </w:r>
    </w:p>
    <w:p>
      <w:pPr>
        <w:pStyle w:val="TextBody"/>
        <w:bidi w:val="0"/>
        <w:spacing w:before="200" w:after="283"/>
        <w:jc w:val="both"/>
        <w:rPr>
          <w:rFonts w:ascii="Arial" w:hAnsi="Arial"/>
          <w:b/>
          <w:color w:val="000000"/>
          <w:sz w:val="16"/>
        </w:rPr>
      </w:pPr>
      <w:r>
        <w:rPr>
          <w:rFonts w:ascii="Arial" w:hAnsi="Arial"/>
          <w:b/>
          <w:color w:val="000000"/>
          <w:sz w:val="16"/>
        </w:rPr>
        <w:t>5. Long-Term Debt</w:t>
      </w:r>
    </w:p>
    <w:p>
      <w:pPr>
        <w:pStyle w:val="TextBody"/>
        <w:bidi w:val="0"/>
        <w:spacing w:before="120" w:after="283"/>
        <w:jc w:val="both"/>
        <w:rPr>
          <w:rFonts w:ascii="Arial" w:hAnsi="Arial"/>
          <w:i/>
          <w:color w:val="000000"/>
          <w:sz w:val="16"/>
        </w:rPr>
      </w:pPr>
      <w:r>
        <w:rPr>
          <w:rFonts w:ascii="Arial" w:hAnsi="Arial"/>
          <w:i/>
          <w:color w:val="000000"/>
          <w:sz w:val="16"/>
        </w:rPr>
        <w:t>Debt Obligations</w:t>
      </w:r>
    </w:p>
    <w:p>
      <w:pPr>
        <w:pStyle w:val="TextBody"/>
        <w:bidi w:val="0"/>
        <w:spacing w:before="120" w:after="283"/>
        <w:jc w:val="both"/>
        <w:rPr>
          <w:rFonts w:ascii="Times New Roman" w:hAnsi="Times New Roman"/>
          <w:sz w:val="20"/>
        </w:rPr>
      </w:pPr>
      <w:r>
        <w:rPr>
          <w:rFonts w:ascii="Arial" w:hAnsi="Arial"/>
          <w:color w:val="000000"/>
          <w:sz w:val="16"/>
        </w:rPr>
        <w:t>The following table and narrative presents the detail of UNIFI’s debt obligations.</w:t>
      </w:r>
      <w:r>
        <w:rPr>
          <w:rFonts w:ascii="Times New Roman" w:hAnsi="Times New Roman"/>
          <w:color w:val="000000"/>
          <w:sz w:val="20"/>
        </w:rPr>
        <w:t xml:space="preserve"> </w:t>
      </w:r>
      <w:r>
        <w:rPr>
          <w:rFonts w:ascii="Arial" w:hAnsi="Arial"/>
          <w:color w:val="000000"/>
          <w:sz w:val="16"/>
        </w:rPr>
        <w:t xml:space="preserve">Capitalized terms not otherwise defined within this Note shall have the meanings attributed to them in the Second Amended and Restated Credit Agreement, dated as of October 28, 2022 (the </w:t>
      </w:r>
      <w:r>
        <w:rPr>
          <w:rFonts w:ascii="Times New Roman" w:hAnsi="Times New Roman"/>
          <w:color w:val="000000"/>
          <w:sz w:val="20"/>
        </w:rPr>
        <w:t>“</w:t>
      </w:r>
      <w:r>
        <w:rPr>
          <w:rFonts w:ascii="Arial" w:hAnsi="Arial"/>
          <w:color w:val="000000"/>
          <w:sz w:val="16"/>
        </w:rPr>
        <w:t>2022 Credit Agreement”) as amended.</w:t>
      </w:r>
    </w:p>
    <w:tbl>
      <w:tblPr>
        <w:tblW w:w="9648" w:type="dxa"/>
        <w:jc w:val="left"/>
        <w:tblInd w:w="0" w:type="dxa"/>
        <w:tblLayout w:type="fixed"/>
        <w:tblCellMar>
          <w:top w:w="28" w:type="dxa"/>
          <w:left w:w="28" w:type="dxa"/>
          <w:bottom w:w="28" w:type="dxa"/>
          <w:right w:w="28" w:type="dxa"/>
        </w:tblCellMar>
      </w:tblPr>
      <w:tblGrid>
        <w:gridCol w:w="3211"/>
        <w:gridCol w:w="146"/>
        <w:gridCol w:w="1156"/>
        <w:gridCol w:w="146"/>
        <w:gridCol w:w="261"/>
        <w:gridCol w:w="594"/>
        <w:gridCol w:w="459"/>
        <w:gridCol w:w="261"/>
        <w:gridCol w:w="146"/>
        <w:gridCol w:w="348"/>
        <w:gridCol w:w="1227"/>
        <w:gridCol w:w="166"/>
        <w:gridCol w:w="146"/>
        <w:gridCol w:w="258"/>
        <w:gridCol w:w="912"/>
        <w:gridCol w:w="211"/>
      </w:tblGrid>
      <w:tr>
        <w:trPr/>
        <w:tc>
          <w:tcPr>
            <w:tcW w:w="3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Weighted Average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7"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Scheduled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4"/>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Interest Rate as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5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Principal Amounts as of</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Maturity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ABL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2024 Facility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4.6</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22,000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ABL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October 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62,400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67,000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8,008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22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105,405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912"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108,008</w:t>
            </w:r>
          </w:p>
        </w:tc>
        <w:tc>
          <w:tcPr>
            <w:tcW w:w="2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ABL Term Loan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Unamortized debt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59"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6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92,601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rFonts w:ascii="Arial" w:hAnsi="Arial"/>
          <w:color w:val="000000"/>
          <w:sz w:val="16"/>
        </w:rPr>
      </w:pPr>
      <w:r>
        <w:rPr>
          <w:rFonts w:ascii="Arial" w:hAnsi="Arial"/>
          <w:color w:val="000000"/>
          <w:sz w:val="16"/>
        </w:rPr>
        <w:t>(1)</w:t>
      </w:r>
    </w:p>
    <w:p>
      <w:pPr>
        <w:pStyle w:val="TextBody"/>
        <w:bidi w:val="0"/>
        <w:spacing w:before="40" w:after="283"/>
        <w:jc w:val="both"/>
        <w:rPr>
          <w:rFonts w:ascii="Arial" w:hAnsi="Arial"/>
          <w:color w:val="000000"/>
          <w:sz w:val="16"/>
        </w:rPr>
      </w:pPr>
      <w:r>
        <w:rPr>
          <w:rFonts w:ascii="Arial" w:hAnsi="Arial"/>
          <w:color w:val="000000"/>
          <w:sz w:val="16"/>
        </w:rPr>
        <w:t>Scheduled maturity dates for finance lease obligations range from November 2026 to October 2032.</w:t>
      </w:r>
    </w:p>
    <w:p>
      <w:pPr>
        <w:pStyle w:val="TextBody"/>
        <w:bidi w:val="0"/>
        <w:spacing w:before="240" w:after="283"/>
        <w:jc w:val="center"/>
        <w:rPr>
          <w:rFonts w:ascii="Arial" w:hAnsi="Arial"/>
          <w:color w:val="000000"/>
          <w:sz w:val="16"/>
        </w:rPr>
      </w:pPr>
      <w:r>
        <w:rPr>
          <w:rFonts w:ascii="Arial" w:hAnsi="Arial"/>
          <w:color w:val="000000"/>
          <w:sz w:val="16"/>
        </w:rPr>
        <w:t>6</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Condensed Consolidated Financial Statements (Continued)</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pPr>
      <w:r>
        <w:rPr/>
        <w:t> </w:t>
      </w:r>
    </w:p>
    <w:p>
      <w:pPr>
        <w:pStyle w:val="TextBody"/>
        <w:bidi w:val="0"/>
        <w:spacing w:before="200" w:after="283"/>
        <w:jc w:val="both"/>
        <w:rPr>
          <w:rFonts w:ascii="Arial" w:hAnsi="Arial"/>
          <w:i/>
          <w:color w:val="000000"/>
          <w:sz w:val="16"/>
        </w:rPr>
      </w:pPr>
      <w:r>
        <w:rPr>
          <w:rFonts w:ascii="Arial" w:hAnsi="Arial"/>
          <w:i/>
          <w:color w:val="000000"/>
          <w:sz w:val="16"/>
        </w:rPr>
        <w:t>ABL Facility and Amendments</w:t>
      </w:r>
    </w:p>
    <w:p>
      <w:pPr>
        <w:pStyle w:val="TextBody"/>
        <w:bidi w:val="0"/>
        <w:spacing w:before="120" w:after="283"/>
        <w:jc w:val="both"/>
        <w:rPr>
          <w:rFonts w:ascii="Times New Roman" w:hAnsi="Times New Roman"/>
          <w:sz w:val="20"/>
        </w:rPr>
      </w:pPr>
      <w:r>
        <w:rPr>
          <w:rFonts w:ascii="Arial" w:hAnsi="Arial"/>
          <w:color w:val="000000"/>
          <w:sz w:val="16"/>
        </w:rPr>
        <w:t>On September 5, 2024, UNIFI, Inc. and certain of its subsidiaries entered into a First Amendment to the 2022 Credit Agreement (the “First Amendment”) with a syndicate of lenders. The First Amendment primarily (i) permits the sale of a Company-owned real estate asset (consisting of an industrial warehouse building and land acreage) located in Yadkinville, North Carolina with application of the net proceeds to reduce the outstanding ABL Revolver balance, in lieu of the prescribed mandatory prepayment to the ABL Term Loan; (ii) reduces the Maximum Revolver Amount from $115,000</w:t>
      </w:r>
      <w:r>
        <w:rPr>
          <w:rFonts w:ascii="Times New Roman" w:hAnsi="Times New Roman"/>
          <w:color w:val="000000"/>
          <w:sz w:val="20"/>
        </w:rPr>
        <w:t xml:space="preserve"> </w:t>
      </w:r>
      <w:r>
        <w:rPr>
          <w:rFonts w:ascii="Arial" w:hAnsi="Arial"/>
          <w:color w:val="000000"/>
          <w:sz w:val="16"/>
        </w:rPr>
        <w:t>to $80,000; (iii) modifies the definition of the Trigger Level as of any date of determination to the greater of (a) $16,500</w:t>
      </w:r>
      <w:r>
        <w:rPr>
          <w:rFonts w:ascii="Times New Roman" w:hAnsi="Times New Roman"/>
          <w:color w:val="000000"/>
          <w:sz w:val="20"/>
        </w:rPr>
        <w:t xml:space="preserve"> </w:t>
      </w:r>
      <w:r>
        <w:rPr>
          <w:rFonts w:ascii="Arial" w:hAnsi="Arial"/>
          <w:color w:val="000000"/>
          <w:sz w:val="16"/>
        </w:rPr>
        <w:t>and (b) 10% of the sum of (i) the Maximum Revolver Amount plus (ii) the outstanding principal amount of the ABL Term Loan on such date of determination; (iv) increases the range of the Applicable Margin on (a) SOFR-based loans to a new range of 1.50% to 2.00% and (b) Base Rate-based loans to a new range of 0.50% to 1.00%, with such new ranges of Applicable Margin rates becoming immediately effective and continuing until the Company achieves a Fixed Charge Coverage Ratio of 1.05</w:t>
      </w:r>
      <w:r>
        <w:rPr>
          <w:rFonts w:ascii="Times New Roman" w:hAnsi="Times New Roman"/>
          <w:color w:val="000000"/>
          <w:sz w:val="20"/>
        </w:rPr>
        <w:t xml:space="preserve"> </w:t>
      </w:r>
      <w:r>
        <w:rPr>
          <w:rFonts w:ascii="Arial" w:hAnsi="Arial"/>
          <w:color w:val="000000"/>
          <w:sz w:val="16"/>
        </w:rPr>
        <w:t>to 1.00</w:t>
      </w:r>
      <w:r>
        <w:rPr>
          <w:rFonts w:ascii="Times New Roman" w:hAnsi="Times New Roman"/>
          <w:color w:val="000000"/>
          <w:sz w:val="20"/>
        </w:rPr>
        <w:t xml:space="preserve"> </w:t>
      </w:r>
      <w:r>
        <w:rPr>
          <w:rFonts w:ascii="Arial" w:hAnsi="Arial"/>
          <w:color w:val="000000"/>
          <w:sz w:val="16"/>
        </w:rPr>
        <w:t>or better; (v) for a Term Loan Reset, establishes an additional requirement to obtain lender approval; and (vi) modifies certain terms and conditions of the 2022 Credit Agreement including, but not limited to, Swing Loans, Letter of Credit sublimits, and costs related to normal course collateral valuations for the ABL Facility.</w:t>
      </w:r>
    </w:p>
    <w:p>
      <w:pPr>
        <w:pStyle w:val="TextBody"/>
        <w:bidi w:val="0"/>
        <w:spacing w:before="240" w:after="283"/>
        <w:jc w:val="both"/>
        <w:rPr>
          <w:rFonts w:ascii="Times New Roman" w:hAnsi="Times New Roman"/>
          <w:sz w:val="20"/>
        </w:rPr>
      </w:pPr>
      <w:r>
        <w:rPr>
          <w:rFonts w:ascii="Arial" w:hAnsi="Arial"/>
          <w:color w:val="000000"/>
          <w:sz w:val="16"/>
        </w:rPr>
        <w:t>On October 25, 2024, UNIFI entered into a new credit agreement with Wells Fargo Bank, National Association for a $25,000</w:t>
      </w:r>
      <w:r>
        <w:rPr>
          <w:rFonts w:ascii="Times New Roman" w:hAnsi="Times New Roman"/>
          <w:color w:val="000000"/>
          <w:sz w:val="20"/>
        </w:rPr>
        <w:t xml:space="preserve"> </w:t>
      </w:r>
      <w:r>
        <w:rPr>
          <w:rFonts w:ascii="Arial" w:hAnsi="Arial"/>
          <w:color w:val="000000"/>
          <w:sz w:val="16"/>
        </w:rPr>
        <w:t xml:space="preserve">revolving credit facility (the </w:t>
      </w:r>
      <w:r>
        <w:rPr>
          <w:rFonts w:ascii="Times New Roman" w:hAnsi="Times New Roman"/>
          <w:color w:val="000000"/>
          <w:sz w:val="20"/>
        </w:rPr>
        <w:t>“</w:t>
      </w:r>
      <w:r>
        <w:rPr>
          <w:rFonts w:ascii="Arial" w:hAnsi="Arial"/>
          <w:color w:val="000000"/>
          <w:sz w:val="16"/>
        </w:rPr>
        <w:t>2024 Facility”). The maturity date of the 2024 Facility is the earlier of (i) October 28, 2027</w:t>
      </w:r>
      <w:r>
        <w:rPr>
          <w:rFonts w:ascii="Times New Roman" w:hAnsi="Times New Roman"/>
          <w:color w:val="000000"/>
          <w:sz w:val="20"/>
        </w:rPr>
        <w:t xml:space="preserve"> </w:t>
      </w:r>
      <w:r>
        <w:rPr>
          <w:rFonts w:ascii="Arial" w:hAnsi="Arial"/>
          <w:color w:val="000000"/>
          <w:sz w:val="16"/>
        </w:rPr>
        <w:t>and (ii) the termination or refinancing of the 2022 Credit Agreement. The 2024 Facility is deemed unsecured financing for UNIFI, but is collateralized by certain assets pledged by related party Kenneth G. Langone, one of the members of UNIFI's Board of Directors. Borrowings under the 2024 Facility bear interest at a rate of SOFR plus 0.90%. The 2024 Facility contains no additional financial covenants beyond those already in effect for the 2022 Credit Agreement and is subject to a monthly unused line fee of 0.25% on available borrowing capacity. On January 2, 2025, UNIFI borrowed $22,000</w:t>
      </w:r>
      <w:r>
        <w:rPr>
          <w:rFonts w:ascii="Times New Roman" w:hAnsi="Times New Roman"/>
          <w:color w:val="000000"/>
          <w:sz w:val="20"/>
        </w:rPr>
        <w:t xml:space="preserve"> </w:t>
      </w:r>
      <w:r>
        <w:rPr>
          <w:rFonts w:ascii="Arial" w:hAnsi="Arial"/>
          <w:color w:val="000000"/>
          <w:sz w:val="16"/>
        </w:rPr>
        <w:t>against the 2024 Facility and used the proceeds to reduce the outstanding ABL Revolver balance. There was no impact to debt principal from these transactions.</w:t>
      </w:r>
    </w:p>
    <w:p>
      <w:pPr>
        <w:pStyle w:val="TextBody"/>
        <w:bidi w:val="0"/>
        <w:jc w:val="both"/>
        <w:rPr/>
      </w:pPr>
      <w:r>
        <w:rPr/>
        <w:t> </w:t>
      </w:r>
    </w:p>
    <w:p>
      <w:pPr>
        <w:pStyle w:val="TextBody"/>
        <w:bidi w:val="0"/>
        <w:jc w:val="both"/>
        <w:rPr>
          <w:rFonts w:ascii="Times New Roman" w:hAnsi="Times New Roman"/>
          <w:sz w:val="20"/>
        </w:rPr>
      </w:pPr>
      <w:r>
        <w:rPr>
          <w:rFonts w:ascii="Arial" w:hAnsi="Arial"/>
          <w:color w:val="000000"/>
          <w:sz w:val="16"/>
        </w:rPr>
        <w:t>On April 10, 2025, UNIFI entered into a Second Amendment to the 2022 Credit Agreement (the “Second Amendment”). The Second Amendment primarily (i) permits the Company to enter into the purchase agreement related to, and consummate the sale of, the Company's Madison, North Carolina property, (ii) permits the Company to allocate a portion of the net proceeds from the sale to repay outstanding revolving loans under the 2022 Credit Agreement, after the application of the greater of $25,000</w:t>
      </w:r>
      <w:r>
        <w:rPr>
          <w:rFonts w:ascii="Times New Roman" w:hAnsi="Times New Roman"/>
          <w:color w:val="000000"/>
          <w:sz w:val="20"/>
        </w:rPr>
        <w:t xml:space="preserve"> </w:t>
      </w:r>
      <w:r>
        <w:rPr>
          <w:rFonts w:ascii="Arial" w:hAnsi="Arial"/>
          <w:color w:val="000000"/>
          <w:sz w:val="16"/>
        </w:rPr>
        <w:t>or 50% of such net proceeds toward outstanding term loans, and (iii) requires the consent of all lenders, rather than the Required Lenders (as defined in the 2022 Credit Agreement), in order to reset the maximum amount of the term loans available under the 2022 Credit Agreement.</w:t>
      </w:r>
    </w:p>
    <w:p>
      <w:pPr>
        <w:pStyle w:val="TextBody"/>
        <w:bidi w:val="0"/>
        <w:jc w:val="both"/>
        <w:rPr/>
      </w:pPr>
      <w:r>
        <w:rPr/>
        <w:t> </w:t>
      </w:r>
    </w:p>
    <w:p>
      <w:pPr>
        <w:pStyle w:val="TextBody"/>
        <w:bidi w:val="0"/>
        <w:spacing w:before="200" w:after="283"/>
        <w:jc w:val="both"/>
        <w:rPr>
          <w:rFonts w:ascii="Arial" w:hAnsi="Arial"/>
          <w:b/>
          <w:color w:val="000000"/>
          <w:sz w:val="16"/>
        </w:rPr>
      </w:pPr>
      <w:r>
        <w:rPr>
          <w:rFonts w:ascii="Arial" w:hAnsi="Arial"/>
          <w:b/>
          <w:color w:val="000000"/>
          <w:sz w:val="16"/>
        </w:rPr>
        <w:t>6. Income Taxes</w:t>
      </w:r>
    </w:p>
    <w:p>
      <w:pPr>
        <w:pStyle w:val="TextBody"/>
        <w:bidi w:val="0"/>
        <w:spacing w:before="120" w:after="120"/>
        <w:jc w:val="both"/>
        <w:rPr>
          <w:rFonts w:ascii="Times New Roman" w:hAnsi="Times New Roman"/>
          <w:sz w:val="20"/>
        </w:rPr>
      </w:pPr>
      <w:r>
        <w:rPr>
          <w:rFonts w:ascii="Arial" w:hAnsi="Arial"/>
          <w:color w:val="000000"/>
          <w:sz w:val="16"/>
        </w:rPr>
        <w:t>The provision for income taxes and effective tax rate were as follows: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986"/>
        <w:gridCol w:w="146"/>
        <w:gridCol w:w="443"/>
        <w:gridCol w:w="1094"/>
        <w:gridCol w:w="396"/>
        <w:gridCol w:w="184"/>
        <w:gridCol w:w="425"/>
        <w:gridCol w:w="1111"/>
        <w:gridCol w:w="312"/>
        <w:gridCol w:w="146"/>
        <w:gridCol w:w="424"/>
        <w:gridCol w:w="1112"/>
        <w:gridCol w:w="358"/>
        <w:gridCol w:w="166"/>
        <w:gridCol w:w="424"/>
        <w:gridCol w:w="1112"/>
        <w:gridCol w:w="366"/>
      </w:tblGrid>
      <w:tr>
        <w:trPr/>
        <w:tc>
          <w:tcPr>
            <w:tcW w:w="1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65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3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3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3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9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3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w:t>
            </w:r>
          </w:p>
        </w:tc>
        <w:tc>
          <w:tcPr>
            <w:tcW w:w="3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3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w:t>
            </w:r>
          </w:p>
        </w:tc>
        <w:tc>
          <w:tcPr>
            <w:tcW w:w="31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w:t>
            </w:r>
          </w:p>
        </w:tc>
        <w:tc>
          <w:tcPr>
            <w:tcW w:w="35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240" w:after="120"/>
        <w:jc w:val="both"/>
        <w:rPr>
          <w:rFonts w:ascii="Arial" w:hAnsi="Arial"/>
          <w:i/>
          <w:color w:val="000000"/>
          <w:sz w:val="16"/>
        </w:rPr>
      </w:pPr>
      <w:r>
        <w:rPr>
          <w:rFonts w:ascii="Arial" w:hAnsi="Arial"/>
          <w:i/>
          <w:color w:val="000000"/>
          <w:sz w:val="16"/>
        </w:rPr>
        <w:t>Income Tax Expense</w:t>
      </w:r>
    </w:p>
    <w:p>
      <w:pPr>
        <w:pStyle w:val="TextBody"/>
        <w:bidi w:val="0"/>
        <w:jc w:val="both"/>
        <w:rPr>
          <w:rFonts w:ascii="Arial" w:hAnsi="Arial"/>
          <w:color w:val="000000"/>
          <w:sz w:val="16"/>
        </w:rPr>
      </w:pPr>
      <w:r>
        <w:rPr>
          <w:rFonts w:ascii="Arial" w:hAnsi="Arial"/>
          <w:color w:val="000000"/>
          <w:sz w:val="16"/>
        </w:rPr>
        <w:t>UNIFI’s provision for income taxes for the six months ended December 28, 2025 and December 29, 2024 was calculated by applying the estimated annual effective tax rate to year-to-date pre-tax book income and adjusting for discrete items that occurred during the period.</w:t>
      </w:r>
    </w:p>
    <w:p>
      <w:pPr>
        <w:pStyle w:val="TextBody"/>
        <w:bidi w:val="0"/>
        <w:spacing w:before="240" w:after="283"/>
        <w:jc w:val="both"/>
        <w:rPr>
          <w:rFonts w:ascii="Arial" w:hAnsi="Arial"/>
          <w:color w:val="000000"/>
          <w:sz w:val="16"/>
        </w:rPr>
      </w:pPr>
      <w:r>
        <w:rPr>
          <w:rFonts w:ascii="Arial" w:hAnsi="Arial"/>
          <w:color w:val="000000"/>
          <w:sz w:val="16"/>
        </w:rPr>
        <w:t>The effective tax rate for the three and six months ended December 28, 2025 and December 29, 2024 varied from the U.S. federal statutory rate primarily due to the U.S. generated losses for which UNIFI does not expect to realize a future tax benefit.</w:t>
      </w:r>
    </w:p>
    <w:p>
      <w:pPr>
        <w:pStyle w:val="TextBody"/>
        <w:bidi w:val="0"/>
        <w:spacing w:before="240" w:after="283"/>
        <w:jc w:val="both"/>
        <w:rPr>
          <w:rFonts w:ascii="Times New Roman" w:hAnsi="Times New Roman"/>
          <w:sz w:val="20"/>
        </w:rPr>
      </w:pPr>
      <w:r>
        <w:rPr>
          <w:rFonts w:ascii="Arial" w:hAnsi="Arial"/>
          <w:color w:val="000000"/>
          <w:sz w:val="16"/>
        </w:rPr>
        <w:t>On July 4, 2025, the U.S. government enacted The One Big Beautiful Bill Act of 2025 (the “Act”), making significant changes to the U.S. corporate income tax system. Based on current analysis of the Act, UNIFI does not expect these tax law changes to have a material impact on its financial statements given the current valuation allowance; however, UNIFI will continue to evaluate their impact as further information becomes available. UNIFI has reflected the impact of the enacted provisions in the three and six months ended December 28, 2025.</w:t>
      </w:r>
      <w:r>
        <w:rPr>
          <w:rFonts w:ascii="Times New Roman" w:hAnsi="Times New Roman"/>
          <w:color w:val="000000"/>
          <w:sz w:val="20"/>
        </w:rPr>
        <w:t xml:space="preserve"> </w:t>
      </w:r>
    </w:p>
    <w:p>
      <w:pPr>
        <w:pStyle w:val="TextBody"/>
        <w:bidi w:val="0"/>
        <w:spacing w:before="240" w:after="120"/>
        <w:jc w:val="both"/>
        <w:rPr>
          <w:rFonts w:ascii="Arial" w:hAnsi="Arial"/>
          <w:i/>
          <w:color w:val="000000"/>
          <w:sz w:val="16"/>
        </w:rPr>
      </w:pPr>
      <w:r>
        <w:rPr>
          <w:rFonts w:ascii="Arial" w:hAnsi="Arial"/>
          <w:i/>
          <w:color w:val="000000"/>
          <w:sz w:val="16"/>
        </w:rPr>
        <w:t>Unrecognized Tax Benefits</w:t>
      </w:r>
    </w:p>
    <w:p>
      <w:pPr>
        <w:pStyle w:val="TextBody"/>
        <w:bidi w:val="0"/>
        <w:jc w:val="both"/>
        <w:rPr>
          <w:rFonts w:ascii="Times New Roman" w:hAnsi="Times New Roman"/>
          <w:sz w:val="20"/>
        </w:rPr>
      </w:pPr>
      <w:r>
        <w:rPr>
          <w:rFonts w:ascii="Arial" w:hAnsi="Arial"/>
          <w:color w:val="000000"/>
          <w:sz w:val="16"/>
        </w:rPr>
        <w:t>UNIFI regularly assesses the outcomes of both completed and ongoing examinations to ensure that its provision for income taxes is sufficient.</w:t>
      </w:r>
      <w:r>
        <w:rPr>
          <w:rFonts w:ascii="Times New Roman" w:hAnsi="Times New Roman"/>
          <w:color w:val="000000"/>
          <w:sz w:val="20"/>
        </w:rPr>
        <w:t xml:space="preserve"> </w:t>
      </w:r>
      <w:r>
        <w:rPr>
          <w:rFonts w:ascii="Arial" w:hAnsi="Arial"/>
          <w:color w:val="000000"/>
          <w:sz w:val="16"/>
        </w:rPr>
        <w:t>Certain returns that remain open to examination have utilized carryforward tax attributes generated in prior tax years, including net operating losses, which could potentially be revised upon examination.</w:t>
      </w:r>
    </w:p>
    <w:p>
      <w:pPr>
        <w:pStyle w:val="TextBody"/>
        <w:bidi w:val="0"/>
        <w:spacing w:before="200" w:after="283"/>
        <w:jc w:val="both"/>
        <w:rPr>
          <w:rFonts w:ascii="Arial" w:hAnsi="Arial"/>
          <w:b/>
          <w:color w:val="000000"/>
          <w:sz w:val="16"/>
        </w:rPr>
      </w:pPr>
      <w:r>
        <w:rPr>
          <w:rFonts w:ascii="Arial" w:hAnsi="Arial"/>
          <w:b/>
          <w:color w:val="000000"/>
          <w:sz w:val="16"/>
        </w:rPr>
        <w:t>7. Shareholders’ Equity</w:t>
      </w:r>
    </w:p>
    <w:p>
      <w:pPr>
        <w:pStyle w:val="TextBody"/>
        <w:bidi w:val="0"/>
        <w:spacing w:before="120" w:after="283"/>
        <w:jc w:val="both"/>
        <w:rPr>
          <w:rFonts w:ascii="Times New Roman" w:hAnsi="Times New Roman"/>
          <w:sz w:val="20"/>
        </w:rPr>
      </w:pPr>
      <w:r>
        <w:rPr>
          <w:rFonts w:ascii="Arial" w:hAnsi="Arial"/>
          <w:color w:val="000000"/>
          <w:sz w:val="16"/>
        </w:rPr>
        <w:t>On October 31, 2018, UNIFI announced that the Company's Board of Directors approved a share repurchase program (the “2018 SRP”) under which UNIFI is authorized to acquire up to $50,000</w:t>
      </w:r>
      <w:r>
        <w:rPr>
          <w:rFonts w:ascii="Times New Roman" w:hAnsi="Times New Roman"/>
          <w:color w:val="000000"/>
          <w:sz w:val="20"/>
        </w:rPr>
        <w:t xml:space="preserve"> </w:t>
      </w:r>
      <w:r>
        <w:rPr>
          <w:rFonts w:ascii="Arial" w:hAnsi="Arial"/>
          <w:color w:val="000000"/>
          <w:sz w:val="16"/>
        </w:rPr>
        <w:t>of its common stock. The share repurchase authorization is discretionary and has no expiration date. No</w:t>
      </w:r>
      <w:r>
        <w:rPr>
          <w:rFonts w:ascii="Times New Roman" w:hAnsi="Times New Roman"/>
          <w:color w:val="000000"/>
          <w:sz w:val="20"/>
        </w:rPr>
        <w:t xml:space="preserve"> </w:t>
      </w:r>
      <w:r>
        <w:rPr>
          <w:rFonts w:ascii="Arial" w:hAnsi="Arial"/>
          <w:color w:val="000000"/>
          <w:sz w:val="16"/>
        </w:rPr>
        <w:t>shares have been repurchased in fiscal 2025 and 2026 and $38,859</w:t>
      </w:r>
      <w:r>
        <w:rPr>
          <w:rFonts w:ascii="Times New Roman" w:hAnsi="Times New Roman"/>
          <w:color w:val="000000"/>
          <w:sz w:val="20"/>
        </w:rPr>
        <w:t xml:space="preserve"> </w:t>
      </w:r>
      <w:r>
        <w:rPr>
          <w:rFonts w:ascii="Arial" w:hAnsi="Arial"/>
          <w:color w:val="000000"/>
          <w:sz w:val="16"/>
        </w:rPr>
        <w:t>remains available for repurchase.</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7</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Condensed Consolidated Financial Statements (Continued)</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pPr>
      <w:r>
        <w:rPr/>
        <w:t> </w:t>
      </w:r>
    </w:p>
    <w:p>
      <w:pPr>
        <w:pStyle w:val="TextBody"/>
        <w:bidi w:val="0"/>
        <w:spacing w:before="160" w:after="283"/>
        <w:jc w:val="both"/>
        <w:rPr>
          <w:rFonts w:ascii="Arial" w:hAnsi="Arial"/>
          <w:b/>
          <w:color w:val="000000"/>
          <w:sz w:val="16"/>
        </w:rPr>
      </w:pPr>
      <w:r>
        <w:rPr>
          <w:rFonts w:ascii="Arial" w:hAnsi="Arial"/>
          <w:b/>
          <w:color w:val="000000"/>
          <w:sz w:val="16"/>
        </w:rPr>
        <w:t>8. Stock-Based Compensation</w:t>
      </w:r>
    </w:p>
    <w:p>
      <w:pPr>
        <w:pStyle w:val="TextBody"/>
        <w:bidi w:val="0"/>
        <w:spacing w:before="120" w:after="283"/>
        <w:jc w:val="both"/>
        <w:rPr>
          <w:rFonts w:ascii="Times New Roman" w:hAnsi="Times New Roman"/>
          <w:sz w:val="20"/>
        </w:rPr>
      </w:pPr>
      <w:r>
        <w:rPr>
          <w:rFonts w:ascii="Arial" w:hAnsi="Arial"/>
          <w:color w:val="000000"/>
          <w:sz w:val="16"/>
        </w:rPr>
        <w:t xml:space="preserve">On October 28, 2025, UNIFI's shareholders approved a Second Amendment (the </w:t>
      </w:r>
      <w:r>
        <w:rPr>
          <w:rFonts w:ascii="Times New Roman" w:hAnsi="Times New Roman"/>
          <w:color w:val="000000"/>
          <w:sz w:val="20"/>
        </w:rPr>
        <w:t>“</w:t>
      </w:r>
      <w:r>
        <w:rPr>
          <w:rFonts w:ascii="Arial" w:hAnsi="Arial"/>
          <w:color w:val="000000"/>
          <w:sz w:val="16"/>
        </w:rPr>
        <w:t>Second Amendment”) to the Unifi, Inc. Second Amended and Restated 2013 Incentive Compensation Plan (the “2020 Plan”). The 2020 Plan set the initial number of shares available for future issuance (the “share reserve”) pursuant to awards granted under the 2020 Plan to 850. In October 2023, the 2020 Plan was amended to increase the share reserve by 1,100</w:t>
      </w:r>
      <w:r>
        <w:rPr>
          <w:rFonts w:ascii="Times New Roman" w:hAnsi="Times New Roman"/>
          <w:color w:val="000000"/>
          <w:sz w:val="20"/>
        </w:rPr>
        <w:t xml:space="preserve"> </w:t>
      </w:r>
      <w:r>
        <w:rPr>
          <w:rFonts w:ascii="Arial" w:hAnsi="Arial"/>
          <w:color w:val="000000"/>
          <w:sz w:val="16"/>
        </w:rPr>
        <w:t>shares and the Second Amendment added an additional 1,240</w:t>
      </w:r>
      <w:r>
        <w:rPr>
          <w:rFonts w:ascii="Times New Roman" w:hAnsi="Times New Roman"/>
          <w:color w:val="000000"/>
          <w:sz w:val="20"/>
        </w:rPr>
        <w:t xml:space="preserve"> </w:t>
      </w:r>
      <w:r>
        <w:rPr>
          <w:rFonts w:ascii="Arial" w:hAnsi="Arial"/>
          <w:color w:val="000000"/>
          <w:sz w:val="16"/>
        </w:rPr>
        <w:t>shares to the share reserve. No additional awards can be granted under prior plans; however, awards outstanding under a respective prior plan remain subject to that plan’s provisions.</w:t>
      </w:r>
    </w:p>
    <w:p>
      <w:pPr>
        <w:pStyle w:val="TextBody"/>
        <w:bidi w:val="0"/>
        <w:jc w:val="both"/>
        <w:rPr/>
      </w:pPr>
      <w:r>
        <w:rPr/>
        <w:t> </w:t>
      </w:r>
    </w:p>
    <w:p>
      <w:pPr>
        <w:pStyle w:val="TextBody"/>
        <w:bidi w:val="0"/>
        <w:spacing w:before="200" w:after="283"/>
        <w:jc w:val="both"/>
        <w:rPr>
          <w:rFonts w:ascii="Arial" w:hAnsi="Arial"/>
          <w:b/>
          <w:color w:val="000000"/>
          <w:sz w:val="16"/>
        </w:rPr>
      </w:pPr>
      <w:r>
        <w:rPr>
          <w:rFonts w:ascii="Arial" w:hAnsi="Arial"/>
          <w:b/>
          <w:color w:val="000000"/>
          <w:sz w:val="16"/>
        </w:rPr>
        <w:t>9. Earnings Per Share</w:t>
      </w:r>
    </w:p>
    <w:p>
      <w:pPr>
        <w:pStyle w:val="TextBody"/>
        <w:bidi w:val="0"/>
        <w:spacing w:before="120" w:after="283"/>
        <w:jc w:val="both"/>
        <w:rPr>
          <w:rFonts w:ascii="Times New Roman" w:hAnsi="Times New Roman"/>
          <w:sz w:val="20"/>
        </w:rPr>
      </w:pPr>
      <w:r>
        <w:rPr>
          <w:rFonts w:ascii="Arial" w:hAnsi="Arial"/>
          <w:color w:val="000000"/>
          <w:sz w:val="16"/>
        </w:rPr>
        <w:t>The components of the calculation of earnings per share (“EPS”) are as follows:</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768"/>
        <w:gridCol w:w="146"/>
        <w:gridCol w:w="319"/>
        <w:gridCol w:w="954"/>
        <w:gridCol w:w="184"/>
        <w:gridCol w:w="162"/>
        <w:gridCol w:w="304"/>
        <w:gridCol w:w="969"/>
        <w:gridCol w:w="166"/>
        <w:gridCol w:w="146"/>
        <w:gridCol w:w="292"/>
        <w:gridCol w:w="981"/>
        <w:gridCol w:w="172"/>
        <w:gridCol w:w="150"/>
        <w:gridCol w:w="292"/>
        <w:gridCol w:w="981"/>
        <w:gridCol w:w="219"/>
      </w:tblGrid>
      <w:tr>
        <w:trPr/>
        <w:tc>
          <w:tcPr>
            <w:tcW w:w="37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7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7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(9,706</w:t>
            </w:r>
          </w:p>
        </w:tc>
        <w:tc>
          <w:tcPr>
            <w:tcW w:w="1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6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(11,392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7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21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7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Basic weighted 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18,421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18,391</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18,272</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potential common share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7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Diluted weighted average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18,421</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6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18,391</w:t>
            </w:r>
          </w:p>
        </w:tc>
        <w:tc>
          <w:tcPr>
            <w:tcW w:w="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18,272</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7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Excluded from the calculation of common share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Anti-dilutive common share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646</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647</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1,144</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6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Excluded from the calculation of diluted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6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Unvested stock options that vest upon achievement of certain market conditions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calculation of EPS is based on the weighted average number of Unifi, Inc.’s common shares outstanding for the applicable period. The calculation of diluted EPS presents the effect of all potential dilutive common shares that were outstanding during the respective period, unless the effect of doing so is anti-dilutive.</w:t>
      </w:r>
    </w:p>
    <w:p>
      <w:pPr>
        <w:pStyle w:val="TextBody"/>
        <w:bidi w:val="0"/>
        <w:jc w:val="both"/>
        <w:rPr/>
      </w:pPr>
      <w:r>
        <w:rPr/>
        <w:t> </w:t>
      </w:r>
    </w:p>
    <w:p>
      <w:pPr>
        <w:pStyle w:val="TextBody"/>
        <w:bidi w:val="0"/>
        <w:spacing w:before="200" w:after="283"/>
        <w:jc w:val="both"/>
        <w:rPr>
          <w:rFonts w:ascii="Arial" w:hAnsi="Arial"/>
          <w:b/>
          <w:color w:val="000000"/>
          <w:sz w:val="16"/>
        </w:rPr>
      </w:pPr>
      <w:r>
        <w:rPr>
          <w:rFonts w:ascii="Arial" w:hAnsi="Arial"/>
          <w:b/>
          <w:color w:val="000000"/>
          <w:sz w:val="16"/>
        </w:rPr>
        <w:t>10. Commitments and Contingencies</w:t>
      </w:r>
    </w:p>
    <w:p>
      <w:pPr>
        <w:pStyle w:val="TextBody"/>
        <w:bidi w:val="0"/>
        <w:spacing w:before="120" w:after="283"/>
        <w:jc w:val="both"/>
        <w:rPr>
          <w:rFonts w:ascii="Arial" w:hAnsi="Arial"/>
          <w:i/>
          <w:color w:val="000000"/>
          <w:sz w:val="16"/>
        </w:rPr>
      </w:pPr>
      <w:r>
        <w:rPr>
          <w:rFonts w:ascii="Arial" w:hAnsi="Arial"/>
          <w:i/>
          <w:color w:val="000000"/>
          <w:sz w:val="16"/>
        </w:rPr>
        <w:t>Collective Bargaining Agreements</w:t>
      </w:r>
    </w:p>
    <w:p>
      <w:pPr>
        <w:pStyle w:val="TextBody"/>
        <w:bidi w:val="0"/>
        <w:spacing w:before="120" w:after="283"/>
        <w:jc w:val="both"/>
        <w:rPr>
          <w:rFonts w:ascii="Arial" w:hAnsi="Arial"/>
          <w:color w:val="000000"/>
          <w:sz w:val="16"/>
        </w:rPr>
      </w:pPr>
      <w:r>
        <w:rPr>
          <w:rFonts w:ascii="Arial" w:hAnsi="Arial"/>
          <w:color w:val="000000"/>
          <w:sz w:val="16"/>
        </w:rPr>
        <w:t>While employees of UNIFI’s Brazilian operations are unionized, none of the labor force employed by UNIFI’s domestic or other foreign subsidiaries is currently covered by a collective bargaining agreement.</w:t>
      </w:r>
    </w:p>
    <w:p>
      <w:pPr>
        <w:pStyle w:val="TextBody"/>
        <w:bidi w:val="0"/>
        <w:spacing w:before="40" w:after="283"/>
        <w:jc w:val="both"/>
        <w:rPr/>
      </w:pPr>
      <w:r>
        <w:rPr/>
        <w:t> </w:t>
      </w:r>
    </w:p>
    <w:p>
      <w:pPr>
        <w:pStyle w:val="TextBody"/>
        <w:bidi w:val="0"/>
        <w:spacing w:before="200" w:after="283"/>
        <w:jc w:val="both"/>
        <w:rPr>
          <w:rFonts w:ascii="Arial" w:hAnsi="Arial"/>
          <w:b/>
          <w:color w:val="000000"/>
          <w:sz w:val="16"/>
        </w:rPr>
      </w:pPr>
      <w:r>
        <w:rPr>
          <w:rFonts w:ascii="Arial" w:hAnsi="Arial"/>
          <w:b/>
          <w:color w:val="000000"/>
          <w:sz w:val="16"/>
        </w:rPr>
        <w:t>11. Related Party Transactions</w:t>
      </w:r>
    </w:p>
    <w:p>
      <w:pPr>
        <w:pStyle w:val="TextBody"/>
        <w:bidi w:val="0"/>
        <w:jc w:val="left"/>
        <w:rPr/>
      </w:pPr>
      <w:r>
        <w:rPr/>
        <w:t> </w:t>
      </w:r>
    </w:p>
    <w:p>
      <w:pPr>
        <w:pStyle w:val="TextBody"/>
        <w:bidi w:val="0"/>
        <w:jc w:val="both"/>
        <w:rPr>
          <w:rFonts w:ascii="Arial" w:hAnsi="Arial"/>
          <w:color w:val="000000"/>
          <w:sz w:val="16"/>
        </w:rPr>
      </w:pPr>
      <w:r>
        <w:rPr>
          <w:rFonts w:ascii="Arial" w:hAnsi="Arial"/>
          <w:color w:val="000000"/>
          <w:sz w:val="16"/>
        </w:rPr>
        <w:t>Related party balances and transactions are not material to the condensed consolidated financial statements and, accordingly, are not presented separately from other financial statement captions.</w:t>
      </w:r>
    </w:p>
    <w:p>
      <w:pPr>
        <w:pStyle w:val="TextBody"/>
        <w:bidi w:val="0"/>
        <w:spacing w:before="200" w:after="283"/>
        <w:jc w:val="both"/>
        <w:rPr>
          <w:rFonts w:ascii="Times New Roman" w:hAnsi="Times New Roman"/>
          <w:sz w:val="20"/>
        </w:rPr>
      </w:pPr>
      <w:r>
        <w:rPr>
          <w:rFonts w:ascii="Arial" w:hAnsi="Arial"/>
          <w:color w:val="000000"/>
          <w:sz w:val="16"/>
        </w:rPr>
        <w:t>There were no</w:t>
      </w:r>
      <w:r>
        <w:rPr>
          <w:rFonts w:ascii="Times New Roman" w:hAnsi="Times New Roman"/>
          <w:color w:val="000000"/>
          <w:sz w:val="20"/>
        </w:rPr>
        <w:t xml:space="preserve"> </w:t>
      </w:r>
      <w:r>
        <w:rPr>
          <w:rFonts w:ascii="Arial" w:hAnsi="Arial"/>
          <w:color w:val="000000"/>
          <w:sz w:val="16"/>
        </w:rPr>
        <w:t>related party receivables as of December 28, 2025 and June 29, 2025.</w:t>
      </w:r>
    </w:p>
    <w:p>
      <w:pPr>
        <w:pStyle w:val="TextBody"/>
        <w:bidi w:val="0"/>
        <w:spacing w:before="200" w:after="120"/>
        <w:jc w:val="both"/>
        <w:rPr>
          <w:rFonts w:ascii="Arial" w:hAnsi="Arial"/>
          <w:color w:val="000000"/>
          <w:sz w:val="16"/>
        </w:rPr>
      </w:pPr>
      <w:r>
        <w:rPr>
          <w:rFonts w:ascii="Arial" w:hAnsi="Arial"/>
          <w:color w:val="000000"/>
          <w:sz w:val="16"/>
        </w:rPr>
        <w:t>Related party payables for Salem Leasing Corporation consisted of the following:</w:t>
      </w:r>
    </w:p>
    <w:tbl>
      <w:tblPr>
        <w:tblW w:w="5520" w:type="dxa"/>
        <w:jc w:val="left"/>
        <w:tblInd w:w="0" w:type="dxa"/>
        <w:tblLayout w:type="fixed"/>
        <w:tblCellMar>
          <w:top w:w="28" w:type="dxa"/>
          <w:left w:w="28" w:type="dxa"/>
          <w:bottom w:w="28" w:type="dxa"/>
          <w:right w:w="28" w:type="dxa"/>
        </w:tblCellMar>
      </w:tblPr>
      <w:tblGrid>
        <w:gridCol w:w="2146"/>
        <w:gridCol w:w="146"/>
        <w:gridCol w:w="435"/>
        <w:gridCol w:w="1140"/>
        <w:gridCol w:w="146"/>
        <w:gridCol w:w="146"/>
        <w:gridCol w:w="324"/>
        <w:gridCol w:w="846"/>
        <w:gridCol w:w="191"/>
      </w:tblGrid>
      <w:tr>
        <w:trPr/>
        <w:tc>
          <w:tcPr>
            <w:tcW w:w="2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lease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6"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14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Finance lease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2,665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related party payables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6,247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3,071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120"/>
        <w:jc w:val="both"/>
        <w:rPr>
          <w:rFonts w:ascii="Times New Roman" w:hAnsi="Times New Roman"/>
          <w:sz w:val="20"/>
        </w:rPr>
      </w:pPr>
      <w:r>
        <w:rPr>
          <w:rFonts w:ascii="Arial" w:hAnsi="Arial"/>
          <w:color w:val="000000"/>
          <w:sz w:val="16"/>
        </w:rPr>
        <w:t>The following were the Company’s significant related party transactions: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1386"/>
        <w:gridCol w:w="146"/>
        <w:gridCol w:w="2787"/>
        <w:gridCol w:w="146"/>
        <w:gridCol w:w="332"/>
        <w:gridCol w:w="817"/>
        <w:gridCol w:w="166"/>
        <w:gridCol w:w="166"/>
        <w:gridCol w:w="332"/>
        <w:gridCol w:w="817"/>
        <w:gridCol w:w="146"/>
        <w:gridCol w:w="146"/>
        <w:gridCol w:w="317"/>
        <w:gridCol w:w="832"/>
        <w:gridCol w:w="160"/>
        <w:gridCol w:w="160"/>
        <w:gridCol w:w="317"/>
        <w:gridCol w:w="832"/>
        <w:gridCol w:w="200"/>
      </w:tblGrid>
      <w:tr>
        <w:trPr/>
        <w:tc>
          <w:tcPr>
            <w:tcW w:w="1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3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Affiliated Entity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7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Transaction Type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4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3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Salem Leasing Corporation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Payments for transportation equipment costs and finance lease debt service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1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2,264</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3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2,279</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both"/>
        <w:rPr>
          <w:rFonts w:ascii="Times New Roman" w:hAnsi="Times New Roman"/>
          <w:sz w:val="20"/>
        </w:rPr>
      </w:pPr>
      <w:r>
        <w:rPr>
          <w:rFonts w:ascii="Arial" w:hAnsi="Arial"/>
          <w:color w:val="000000"/>
          <w:sz w:val="16"/>
        </w:rPr>
        <w:t>As discussed in Note 5, “Long-Term Debt”, UNIFI entered into the 2024 Facility in October 2024 which was collateralized by personal assets of a board member. On January 2, 2025, UNIFI borrowed $22,000</w:t>
      </w:r>
      <w:r>
        <w:rPr>
          <w:rFonts w:ascii="Times New Roman" w:hAnsi="Times New Roman"/>
          <w:color w:val="000000"/>
          <w:sz w:val="20"/>
        </w:rPr>
        <w:t xml:space="preserve"> </w:t>
      </w:r>
      <w:r>
        <w:rPr>
          <w:rFonts w:ascii="Arial" w:hAnsi="Arial"/>
          <w:color w:val="000000"/>
          <w:sz w:val="16"/>
        </w:rPr>
        <w:t>on the 2024 Facility and used the proceeds to reduce the outstanding ABL Revolver balance.</w:t>
      </w:r>
    </w:p>
    <w:p>
      <w:pPr>
        <w:pStyle w:val="TextBody"/>
        <w:bidi w:val="0"/>
        <w:spacing w:before="240" w:after="283"/>
        <w:jc w:val="center"/>
        <w:rPr>
          <w:rFonts w:ascii="Arial" w:hAnsi="Arial"/>
          <w:color w:val="000000"/>
          <w:sz w:val="16"/>
        </w:rPr>
      </w:pPr>
      <w:r>
        <w:rPr>
          <w:rFonts w:ascii="Arial" w:hAnsi="Arial"/>
          <w:color w:val="000000"/>
          <w:sz w:val="16"/>
        </w:rPr>
        <w:t>8</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Condensed Consolidated Financial Statements (Continued)</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pPr>
      <w:r>
        <w:rPr/>
        <w:t> </w:t>
      </w:r>
    </w:p>
    <w:p>
      <w:pPr>
        <w:pStyle w:val="TextBody"/>
        <w:bidi w:val="0"/>
        <w:spacing w:before="200" w:after="283"/>
        <w:jc w:val="both"/>
        <w:rPr>
          <w:rFonts w:ascii="Arial" w:hAnsi="Arial"/>
          <w:b/>
          <w:color w:val="000000"/>
          <w:sz w:val="16"/>
        </w:rPr>
      </w:pPr>
      <w:r>
        <w:rPr>
          <w:rFonts w:ascii="Arial" w:hAnsi="Arial"/>
          <w:b/>
          <w:color w:val="000000"/>
          <w:sz w:val="16"/>
        </w:rPr>
        <w:t>12. Business Segment Information</w:t>
      </w:r>
    </w:p>
    <w:p>
      <w:pPr>
        <w:pStyle w:val="TextBody"/>
        <w:bidi w:val="0"/>
        <w:spacing w:before="120" w:after="283"/>
        <w:jc w:val="both"/>
        <w:rPr>
          <w:rFonts w:ascii="Arial" w:hAnsi="Arial"/>
          <w:color w:val="000000"/>
          <w:sz w:val="16"/>
        </w:rPr>
      </w:pPr>
      <w:r>
        <w:rPr>
          <w:rFonts w:ascii="Arial" w:hAnsi="Arial"/>
          <w:color w:val="000000"/>
          <w:sz w:val="16"/>
        </w:rPr>
        <w:t>UNIFI defines operating segments as components of the organization for which discrete financial information is available and operating results are evaluated on a regular basis by UNIFI’s chief executive officer, who is the chief operating decision maker (the “CODM”), in order to assess performance and allocate resources. Characteristics of UNIFI which were relied upon in making the determination of reportable segments include the nature of the products sold, the internal organizational structure, the trade policies in the geographic regions in which UNIFI operates, and the information that is regularly reviewed by the CODM for the purpose of assessing performance and allocating resources.</w:t>
      </w:r>
    </w:p>
    <w:p>
      <w:pPr>
        <w:pStyle w:val="TextBody"/>
        <w:bidi w:val="0"/>
        <w:spacing w:before="160" w:after="283"/>
        <w:jc w:val="both"/>
        <w:rPr>
          <w:rFonts w:ascii="Times New Roman" w:hAnsi="Times New Roman"/>
          <w:sz w:val="20"/>
        </w:rPr>
      </w:pPr>
      <w:r>
        <w:rPr>
          <w:rFonts w:ascii="Arial" w:hAnsi="Arial"/>
          <w:color w:val="000000"/>
          <w:sz w:val="16"/>
        </w:rPr>
        <w:t>UNIFI's three</w:t>
      </w:r>
      <w:r>
        <w:rPr>
          <w:rFonts w:ascii="Times New Roman" w:hAnsi="Times New Roman"/>
          <w:color w:val="000000"/>
          <w:sz w:val="20"/>
        </w:rPr>
        <w:t xml:space="preserve"> </w:t>
      </w:r>
      <w:r>
        <w:rPr>
          <w:rFonts w:ascii="Arial" w:hAnsi="Arial"/>
          <w:color w:val="000000"/>
          <w:sz w:val="16"/>
        </w:rPr>
        <w:t>reportable segments are organized as follows: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operations within the Americas Segment exhibit similar long-term economic characteristics and primarily sell into an economic trading zone covered by the United States-Mexico-Canada Agreement and the Dominican Republic-Central America Free Trade Agreement to similar customers utilizing similar methods of distribution. These operations derive revenues primarily from manufacturing synthetic and recycled textile products with sales primarily to yarn manufacturers, knitters, and weavers that produce yarn and/or fabric for the apparel, hosiery, automotive, home furnishings, industrial, medical, and other end-use markets principally in North and Central America. The Americas Segment consists of sales and manufacturing operations in the U.S., El Salvador, and Colombia.</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Brazil Segment primarily manufactures and sells polyester-based products to knitters and weavers that produce fabric for the apparel, automotive, home furnishings, industrial, and other end-use markets principally in Brazil. The Brazil Segment includes a manufacturing location and sales offices in Brazil.</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operations within the Asia Segment exhibit similar long-term economic characteristics and sell to similar customers utilizing similar methods of distribution primarily in Asia and Europe. The Asia Segment primarily sources synthetic and recycled textile products from third-party suppliers and sells to yarn manufacturers, knitters, and weavers that produce fabric for the apparel, automotive, home furnishings, industrial, and other end-use markets principally in Asia and Europe. The Asia Segment includes sales offices in China, Turkey, Hong Kong, and India.</w:t>
      </w:r>
    </w:p>
    <w:p>
      <w:pPr>
        <w:pStyle w:val="TextBody"/>
        <w:bidi w:val="0"/>
        <w:spacing w:before="160" w:after="283"/>
        <w:jc w:val="both"/>
        <w:rPr>
          <w:rFonts w:ascii="Arial" w:hAnsi="Arial"/>
          <w:color w:val="000000"/>
          <w:sz w:val="16"/>
        </w:rPr>
      </w:pPr>
      <w:r>
        <w:rPr>
          <w:rFonts w:ascii="Arial" w:hAnsi="Arial"/>
          <w:color w:val="000000"/>
          <w:sz w:val="16"/>
        </w:rPr>
        <w:t>UNIFI evaluates the operating performance of its segments based upon Segment (Loss) Profit, which represents segment gross (loss) profit plus segment depreciation expense. This measurement of segment profit or loss best aligns segment reporting with the current assessments and evaluations performed by, and information provided to, the CODM.</w:t>
      </w:r>
    </w:p>
    <w:p>
      <w:pPr>
        <w:pStyle w:val="TextBody"/>
        <w:bidi w:val="0"/>
        <w:spacing w:before="160" w:after="283"/>
        <w:jc w:val="both"/>
        <w:rPr>
          <w:rFonts w:ascii="Arial" w:hAnsi="Arial"/>
          <w:color w:val="000000"/>
          <w:sz w:val="16"/>
        </w:rPr>
      </w:pPr>
      <w:r>
        <w:rPr>
          <w:rFonts w:ascii="Arial" w:hAnsi="Arial"/>
          <w:color w:val="000000"/>
          <w:sz w:val="16"/>
        </w:rPr>
        <w:t>The accounting policies for the segments are consistent with UNIFI’s accounting policies. Intersegment sales are omitted from segment disclosures, as they are (i) insignificant to UNIFI’s segments and eliminated from consolidated reporting and (ii) excluded from segment evaluations performed by the CODM.</w:t>
      </w:r>
    </w:p>
    <w:p>
      <w:pPr>
        <w:pStyle w:val="TextBody"/>
        <w:bidi w:val="0"/>
        <w:spacing w:before="160" w:after="283"/>
        <w:jc w:val="both"/>
        <w:rPr>
          <w:rFonts w:ascii="Arial" w:hAnsi="Arial"/>
          <w:color w:val="000000"/>
          <w:sz w:val="16"/>
        </w:rPr>
      </w:pPr>
      <w:r>
        <w:rPr>
          <w:rFonts w:ascii="Arial" w:hAnsi="Arial"/>
          <w:color w:val="000000"/>
          <w:sz w:val="16"/>
        </w:rPr>
        <w:t>Selected financial information is presented below:</w:t>
      </w:r>
    </w:p>
    <w:p>
      <w:pPr>
        <w:pStyle w:val="TextBody"/>
        <w:bidi w:val="0"/>
        <w:jc w:val="both"/>
        <w:rPr/>
      </w:pPr>
      <w:r>
        <w:rPr/>
        <w:t> </w:t>
      </w:r>
    </w:p>
    <w:tbl>
      <w:tblPr>
        <w:tblW w:w="6926" w:type="dxa"/>
        <w:jc w:val="left"/>
        <w:tblInd w:w="0" w:type="dxa"/>
        <w:tblLayout w:type="fixed"/>
        <w:tblCellMar>
          <w:top w:w="28" w:type="dxa"/>
          <w:left w:w="28" w:type="dxa"/>
          <w:bottom w:w="28" w:type="dxa"/>
          <w:right w:w="28" w:type="dxa"/>
        </w:tblCellMar>
      </w:tblPr>
      <w:tblGrid>
        <w:gridCol w:w="2371"/>
        <w:gridCol w:w="146"/>
        <w:gridCol w:w="206"/>
        <w:gridCol w:w="635"/>
        <w:gridCol w:w="166"/>
        <w:gridCol w:w="146"/>
        <w:gridCol w:w="196"/>
        <w:gridCol w:w="601"/>
        <w:gridCol w:w="146"/>
        <w:gridCol w:w="146"/>
        <w:gridCol w:w="196"/>
        <w:gridCol w:w="601"/>
        <w:gridCol w:w="146"/>
        <w:gridCol w:w="146"/>
        <w:gridCol w:w="196"/>
        <w:gridCol w:w="69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December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Brazil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121,368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17,853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117,757</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926" w:type="dxa"/>
        <w:jc w:val="left"/>
        <w:tblInd w:w="0" w:type="dxa"/>
        <w:tblLayout w:type="fixed"/>
        <w:tblCellMar>
          <w:top w:w="28" w:type="dxa"/>
          <w:left w:w="28" w:type="dxa"/>
          <w:bottom w:w="28" w:type="dxa"/>
          <w:right w:w="28" w:type="dxa"/>
        </w:tblCellMar>
      </w:tblPr>
      <w:tblGrid>
        <w:gridCol w:w="2371"/>
        <w:gridCol w:w="146"/>
        <w:gridCol w:w="206"/>
        <w:gridCol w:w="635"/>
        <w:gridCol w:w="166"/>
        <w:gridCol w:w="146"/>
        <w:gridCol w:w="196"/>
        <w:gridCol w:w="601"/>
        <w:gridCol w:w="146"/>
        <w:gridCol w:w="146"/>
        <w:gridCol w:w="196"/>
        <w:gridCol w:w="601"/>
        <w:gridCol w:w="146"/>
        <w:gridCol w:w="146"/>
        <w:gridCol w:w="196"/>
        <w:gridCol w:w="69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Brazil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83,095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138,880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23,696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138,346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3,786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5,950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6,484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972" w:type="dxa"/>
        <w:jc w:val="left"/>
        <w:tblInd w:w="0" w:type="dxa"/>
        <w:tblLayout w:type="fixed"/>
        <w:tblCellMar>
          <w:top w:w="28" w:type="dxa"/>
          <w:left w:w="28" w:type="dxa"/>
          <w:bottom w:w="28" w:type="dxa"/>
          <w:right w:w="28" w:type="dxa"/>
        </w:tblCellMar>
      </w:tblPr>
      <w:tblGrid>
        <w:gridCol w:w="2371"/>
        <w:gridCol w:w="146"/>
        <w:gridCol w:w="196"/>
        <w:gridCol w:w="691"/>
        <w:gridCol w:w="166"/>
        <w:gridCol w:w="146"/>
        <w:gridCol w:w="196"/>
        <w:gridCol w:w="601"/>
        <w:gridCol w:w="146"/>
        <w:gridCol w:w="146"/>
        <w:gridCol w:w="196"/>
        <w:gridCol w:w="601"/>
        <w:gridCol w:w="146"/>
        <w:gridCol w:w="146"/>
        <w:gridCol w:w="196"/>
        <w:gridCol w:w="69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2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December 28,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Brazil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162,429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257,042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48,372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37,132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250,044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11,332</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18,330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tbl>
      <w:tblPr>
        <w:tblW w:w="6972" w:type="dxa"/>
        <w:jc w:val="left"/>
        <w:tblInd w:w="0" w:type="dxa"/>
        <w:tblLayout w:type="fixed"/>
        <w:tblCellMar>
          <w:top w:w="28" w:type="dxa"/>
          <w:left w:w="28" w:type="dxa"/>
          <w:bottom w:w="28" w:type="dxa"/>
          <w:right w:w="28" w:type="dxa"/>
        </w:tblCellMar>
      </w:tblPr>
      <w:tblGrid>
        <w:gridCol w:w="2371"/>
        <w:gridCol w:w="146"/>
        <w:gridCol w:w="196"/>
        <w:gridCol w:w="691"/>
        <w:gridCol w:w="166"/>
        <w:gridCol w:w="146"/>
        <w:gridCol w:w="196"/>
        <w:gridCol w:w="601"/>
        <w:gridCol w:w="146"/>
        <w:gridCol w:w="146"/>
        <w:gridCol w:w="196"/>
        <w:gridCol w:w="601"/>
        <w:gridCol w:w="146"/>
        <w:gridCol w:w="146"/>
        <w:gridCol w:w="196"/>
        <w:gridCol w:w="691"/>
        <w:gridCol w:w="191"/>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6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Americas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Brazil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Asia</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169,378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286,252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50,069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48,895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276,260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(loss)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9,992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7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12,118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3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22,110</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9</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Condensed Consolidated Financial Statements (Continued)</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pPr>
      <w:r>
        <w:rPr/>
        <w:t> </w:t>
      </w:r>
    </w:p>
    <w:p>
      <w:pPr>
        <w:pStyle w:val="TextBody"/>
        <w:bidi w:val="0"/>
        <w:jc w:val="both"/>
        <w:rPr/>
      </w:pPr>
      <w:r>
        <w:rPr/>
        <w:t> </w:t>
      </w:r>
    </w:p>
    <w:p>
      <w:pPr>
        <w:pStyle w:val="TextBody"/>
        <w:bidi w:val="0"/>
        <w:spacing w:before="80" w:after="120"/>
        <w:jc w:val="both"/>
        <w:rPr>
          <w:rFonts w:ascii="Arial" w:hAnsi="Arial"/>
          <w:color w:val="000000"/>
          <w:sz w:val="16"/>
        </w:rPr>
      </w:pPr>
      <w:r>
        <w:rPr>
          <w:rFonts w:ascii="Arial" w:hAnsi="Arial"/>
          <w:color w:val="000000"/>
          <w:sz w:val="16"/>
        </w:rPr>
        <w:t>The reconciliations of segment gross profit to consolidated loss before income taxes are as follows:</w:t>
      </w:r>
    </w:p>
    <w:tbl>
      <w:tblPr>
        <w:tblW w:w="10205" w:type="dxa"/>
        <w:jc w:val="left"/>
        <w:tblInd w:w="0" w:type="dxa"/>
        <w:tblLayout w:type="fixed"/>
        <w:tblCellMar>
          <w:top w:w="28" w:type="dxa"/>
          <w:left w:w="28" w:type="dxa"/>
          <w:bottom w:w="28" w:type="dxa"/>
          <w:right w:w="28" w:type="dxa"/>
        </w:tblCellMar>
      </w:tblPr>
      <w:tblGrid>
        <w:gridCol w:w="2989"/>
        <w:gridCol w:w="146"/>
        <w:gridCol w:w="374"/>
        <w:gridCol w:w="1087"/>
        <w:gridCol w:w="196"/>
        <w:gridCol w:w="172"/>
        <w:gridCol w:w="339"/>
        <w:gridCol w:w="1122"/>
        <w:gridCol w:w="166"/>
        <w:gridCol w:w="146"/>
        <w:gridCol w:w="334"/>
        <w:gridCol w:w="1127"/>
        <w:gridCol w:w="175"/>
        <w:gridCol w:w="153"/>
        <w:gridCol w:w="334"/>
        <w:gridCol w:w="1127"/>
        <w:gridCol w:w="218"/>
      </w:tblGrid>
      <w:tr>
        <w:trPr/>
        <w:tc>
          <w:tcPr>
            <w:tcW w:w="298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1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9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7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(7,918</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3,717</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11,723</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2,954</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5,392</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6,187</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6,998</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9,992</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9,713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21,661</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24,763</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(benefit) for bad debts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 of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expense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343</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(16,909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(10,780</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(473</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(848</w:t>
            </w:r>
          </w:p>
        </w:tc>
        <w:tc>
          <w:tcPr>
            <w:tcW w:w="17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(434</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8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1,802</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3,805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4,905</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7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89"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(8,754</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(10,047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(19,915</w:t>
            </w:r>
          </w:p>
        </w:tc>
        <w:tc>
          <w:tcPr>
            <w:tcW w:w="17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(15,502</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spacing w:before="120" w:after="120"/>
        <w:jc w:val="both"/>
        <w:rPr>
          <w:rFonts w:ascii="Arial" w:hAnsi="Arial"/>
          <w:color w:val="000000"/>
          <w:sz w:val="16"/>
        </w:rPr>
      </w:pPr>
      <w:r>
        <w:rPr>
          <w:rFonts w:ascii="Arial" w:hAnsi="Arial"/>
          <w:color w:val="000000"/>
          <w:sz w:val="16"/>
        </w:rPr>
        <w:t>The reconciliations of segment depreciation and amortization expense to consolidated depreciation and amortization expense are as follows:</w:t>
      </w:r>
    </w:p>
    <w:tbl>
      <w:tblPr>
        <w:tblW w:w="10205" w:type="dxa"/>
        <w:jc w:val="left"/>
        <w:tblInd w:w="0" w:type="dxa"/>
        <w:tblLayout w:type="fixed"/>
        <w:tblCellMar>
          <w:top w:w="28" w:type="dxa"/>
          <w:left w:w="28" w:type="dxa"/>
          <w:bottom w:w="28" w:type="dxa"/>
          <w:right w:w="28" w:type="dxa"/>
        </w:tblCellMar>
      </w:tblPr>
      <w:tblGrid>
        <w:gridCol w:w="3005"/>
        <w:gridCol w:w="146"/>
        <w:gridCol w:w="409"/>
        <w:gridCol w:w="1055"/>
        <w:gridCol w:w="192"/>
        <w:gridCol w:w="192"/>
        <w:gridCol w:w="409"/>
        <w:gridCol w:w="1055"/>
        <w:gridCol w:w="146"/>
        <w:gridCol w:w="146"/>
        <w:gridCol w:w="360"/>
        <w:gridCol w:w="1104"/>
        <w:gridCol w:w="163"/>
        <w:gridCol w:w="163"/>
        <w:gridCol w:w="360"/>
        <w:gridCol w:w="1104"/>
        <w:gridCol w:w="196"/>
      </w:tblGrid>
      <w:tr>
        <w:trPr/>
        <w:tc>
          <w:tcPr>
            <w:tcW w:w="300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r>
      <w:tr>
        <w:trPr/>
        <w:tc>
          <w:tcPr>
            <w:tcW w:w="30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0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4,945</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9,822</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10,744</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700</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1,483</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1,343</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5,658</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11,332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12,118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0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290</w:t>
            </w:r>
          </w:p>
        </w:tc>
        <w:tc>
          <w:tcPr>
            <w:tcW w:w="1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384</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593</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763</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0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5,948</w:t>
            </w:r>
          </w:p>
        </w:tc>
        <w:tc>
          <w:tcPr>
            <w:tcW w:w="1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6,334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11,925</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12,881</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120"/>
        <w:jc w:val="both"/>
        <w:rPr>
          <w:rFonts w:ascii="Arial" w:hAnsi="Arial"/>
          <w:color w:val="000000"/>
          <w:sz w:val="16"/>
        </w:rPr>
      </w:pPr>
      <w:r>
        <w:rPr>
          <w:rFonts w:ascii="Arial" w:hAnsi="Arial"/>
          <w:color w:val="000000"/>
          <w:sz w:val="16"/>
        </w:rPr>
        <w:t>The reconciliations of segment capital expenditures to consolidated capital expenditures are as follows:</w:t>
      </w:r>
    </w:p>
    <w:tbl>
      <w:tblPr>
        <w:tblW w:w="9967" w:type="dxa"/>
        <w:jc w:val="left"/>
        <w:tblInd w:w="0" w:type="dxa"/>
        <w:tblLayout w:type="fixed"/>
        <w:tblCellMar>
          <w:top w:w="28" w:type="dxa"/>
          <w:left w:w="28" w:type="dxa"/>
          <w:bottom w:w="28" w:type="dxa"/>
          <w:right w:w="28" w:type="dxa"/>
        </w:tblCellMar>
      </w:tblPr>
      <w:tblGrid>
        <w:gridCol w:w="2266"/>
        <w:gridCol w:w="146"/>
        <w:gridCol w:w="436"/>
        <w:gridCol w:w="1139"/>
        <w:gridCol w:w="202"/>
        <w:gridCol w:w="202"/>
        <w:gridCol w:w="436"/>
        <w:gridCol w:w="1139"/>
        <w:gridCol w:w="146"/>
        <w:gridCol w:w="146"/>
        <w:gridCol w:w="435"/>
        <w:gridCol w:w="1140"/>
        <w:gridCol w:w="184"/>
        <w:gridCol w:w="184"/>
        <w:gridCol w:w="435"/>
        <w:gridCol w:w="1140"/>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643</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1,968</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4,188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576</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1,055</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3,061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4,823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capital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w:t>
            </w:r>
          </w:p>
        </w:tc>
        <w:tc>
          <w:tcPr>
            <w:tcW w:w="18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Capital expenditures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1,055</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3,084</w:t>
            </w:r>
          </w:p>
        </w:tc>
        <w:tc>
          <w:tcPr>
            <w:tcW w:w="18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00000"/>
          <w:sz w:val="16"/>
        </w:rPr>
      </w:pPr>
      <w:r>
        <w:rPr>
          <w:rFonts w:ascii="Arial" w:hAnsi="Arial"/>
          <w:color w:val="000000"/>
          <w:sz w:val="16"/>
        </w:rPr>
        <w:t>The reconciliations of segment total assets to consolidated total assets are as follows:</w:t>
      </w:r>
    </w:p>
    <w:p>
      <w:pPr>
        <w:pStyle w:val="TextBody"/>
        <w:bidi w:val="0"/>
        <w:jc w:val="left"/>
        <w:rPr/>
      </w:pPr>
      <w:r>
        <w:rPr/>
        <w:t> </w:t>
      </w:r>
    </w:p>
    <w:tbl>
      <w:tblPr>
        <w:tblW w:w="6150" w:type="dxa"/>
        <w:jc w:val="left"/>
        <w:tblInd w:w="0" w:type="dxa"/>
        <w:tblLayout w:type="fixed"/>
        <w:tblCellMar>
          <w:top w:w="28" w:type="dxa"/>
          <w:left w:w="28" w:type="dxa"/>
          <w:bottom w:w="28" w:type="dxa"/>
          <w:right w:w="28" w:type="dxa"/>
        </w:tblCellMar>
      </w:tblPr>
      <w:tblGrid>
        <w:gridCol w:w="2776"/>
        <w:gridCol w:w="146"/>
        <w:gridCol w:w="348"/>
        <w:gridCol w:w="1227"/>
        <w:gridCol w:w="146"/>
        <w:gridCol w:w="146"/>
        <w:gridCol w:w="258"/>
        <w:gridCol w:w="912"/>
        <w:gridCol w:w="191"/>
      </w:tblGrid>
      <w:tr>
        <w:trPr/>
        <w:tc>
          <w:tcPr>
            <w:tcW w:w="2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Americas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238,692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86,968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99,477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Asia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34,557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35,413</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360,217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406,120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2,911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PP&amp;E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3,862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Investment in unconsolidated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382,913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426,868</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10</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Condensed Consolidated Financial Statements (Continued)</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pPr>
      <w:r>
        <w:rPr/>
        <w:t> </w:t>
      </w:r>
    </w:p>
    <w:p>
      <w:pPr>
        <w:pStyle w:val="TextBody"/>
        <w:bidi w:val="0"/>
        <w:spacing w:before="120" w:after="283"/>
        <w:jc w:val="both"/>
        <w:rPr>
          <w:rFonts w:ascii="Arial" w:hAnsi="Arial"/>
          <w:i/>
          <w:color w:val="000000"/>
          <w:sz w:val="16"/>
        </w:rPr>
      </w:pPr>
      <w:r>
        <w:rPr>
          <w:rFonts w:ascii="Arial" w:hAnsi="Arial"/>
          <w:i/>
          <w:color w:val="000000"/>
          <w:sz w:val="16"/>
        </w:rPr>
        <w:t>Geographic Data</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36"/>
        <w:gridCol w:w="146"/>
        <w:gridCol w:w="302"/>
        <w:gridCol w:w="1052"/>
        <w:gridCol w:w="160"/>
        <w:gridCol w:w="160"/>
        <w:gridCol w:w="302"/>
        <w:gridCol w:w="1052"/>
        <w:gridCol w:w="146"/>
        <w:gridCol w:w="146"/>
        <w:gridCol w:w="301"/>
        <w:gridCol w:w="1053"/>
        <w:gridCol w:w="150"/>
        <w:gridCol w:w="150"/>
        <w:gridCol w:w="301"/>
        <w:gridCol w:w="1053"/>
        <w:gridCol w:w="195"/>
      </w:tblGrid>
      <w:tr>
        <w:trPr/>
        <w:tc>
          <w:tcPr>
            <w:tcW w:w="3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0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68,701</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144,607</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152,574</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52,089</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61,792</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20,589</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27,199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42,229</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53,218</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Remaining Foreign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8,750</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18,117</w:t>
            </w:r>
          </w:p>
        </w:tc>
        <w:tc>
          <w:tcPr>
            <w:tcW w:w="1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18,668</w:t>
            </w:r>
          </w:p>
        </w:tc>
        <w:tc>
          <w:tcPr>
            <w:tcW w:w="1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121,368</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138,880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257,042</w:t>
            </w:r>
          </w:p>
        </w:tc>
        <w:tc>
          <w:tcPr>
            <w:tcW w:w="15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286,252</w:t>
            </w:r>
          </w:p>
        </w:tc>
        <w:tc>
          <w:tcPr>
            <w:tcW w:w="1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3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4"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Export sales from UNIFI’s U.S. operations to external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10,516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15,910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23,160</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05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35,745</w:t>
            </w:r>
          </w:p>
        </w:tc>
        <w:tc>
          <w:tcPr>
            <w:tcW w:w="1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Arial" w:hAnsi="Arial"/>
          <w:color w:val="000000"/>
          <w:sz w:val="16"/>
        </w:rPr>
      </w:pPr>
      <w:r>
        <w:rPr>
          <w:rFonts w:ascii="Arial" w:hAnsi="Arial"/>
          <w:color w:val="000000"/>
          <w:sz w:val="16"/>
        </w:rPr>
        <w:t>The net sales amounts are based on the operating locations from where the items were produced or distributed.</w:t>
      </w:r>
    </w:p>
    <w:p>
      <w:pPr>
        <w:pStyle w:val="TextBody"/>
        <w:bidi w:val="0"/>
        <w:jc w:val="left"/>
        <w:rPr/>
      </w:pPr>
      <w:r>
        <w:rPr/>
        <w:t> </w:t>
      </w:r>
    </w:p>
    <w:tbl>
      <w:tblPr>
        <w:tblW w:w="5610" w:type="dxa"/>
        <w:jc w:val="left"/>
        <w:tblInd w:w="0" w:type="dxa"/>
        <w:tblLayout w:type="fixed"/>
        <w:tblCellMar>
          <w:top w:w="28" w:type="dxa"/>
          <w:left w:w="28" w:type="dxa"/>
          <w:bottom w:w="28" w:type="dxa"/>
          <w:right w:w="28" w:type="dxa"/>
        </w:tblCellMar>
      </w:tblPr>
      <w:tblGrid>
        <w:gridCol w:w="2236"/>
        <w:gridCol w:w="146"/>
        <w:gridCol w:w="348"/>
        <w:gridCol w:w="1227"/>
        <w:gridCol w:w="146"/>
        <w:gridCol w:w="146"/>
        <w:gridCol w:w="258"/>
        <w:gridCol w:w="912"/>
        <w:gridCol w:w="191"/>
      </w:tblGrid>
      <w:tr>
        <w:trPr/>
        <w:tc>
          <w:tcPr>
            <w:tcW w:w="2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i/>
                <w:color w:val="000000"/>
                <w:sz w:val="16"/>
              </w:rPr>
            </w:pPr>
            <w:r>
              <w:rPr>
                <w:rFonts w:ascii="Arial" w:hAnsi="Arial"/>
                <w:i/>
                <w:color w:val="000000"/>
                <w:sz w:val="16"/>
              </w:rPr>
              <w:t>Long-Lived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140,410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146,017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Brazil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23,713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24,305</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China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Remaining Foreign Countries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13,926</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178,704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185,706</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16"/>
        </w:rPr>
      </w:pPr>
      <w:r>
        <w:rPr>
          <w:rFonts w:ascii="Arial" w:hAnsi="Arial"/>
          <w:color w:val="000000"/>
          <w:sz w:val="16"/>
        </w:rPr>
        <w:t>Long-lived assets are comprised of PP&amp;E, net; operating lease assets; intangible assets, net; investments in unconsolidated affiliates; and other non-current assets.</w:t>
      </w:r>
    </w:p>
    <w:p>
      <w:pPr>
        <w:pStyle w:val="TextBody"/>
        <w:bidi w:val="0"/>
        <w:jc w:val="left"/>
        <w:rPr/>
      </w:pPr>
      <w:r>
        <w:rPr/>
        <w:t> </w:t>
      </w:r>
    </w:p>
    <w:p>
      <w:pPr>
        <w:pStyle w:val="TextBody"/>
        <w:bidi w:val="0"/>
        <w:spacing w:before="200" w:after="283"/>
        <w:jc w:val="both"/>
        <w:rPr>
          <w:rFonts w:ascii="Arial" w:hAnsi="Arial"/>
          <w:b/>
          <w:color w:val="000000"/>
          <w:sz w:val="16"/>
        </w:rPr>
      </w:pPr>
      <w:r>
        <w:rPr>
          <w:rFonts w:ascii="Arial" w:hAnsi="Arial"/>
          <w:b/>
          <w:color w:val="000000"/>
          <w:sz w:val="16"/>
        </w:rPr>
        <w:t>13. Investment in Unconsolidated Affiliate</w:t>
      </w:r>
    </w:p>
    <w:p>
      <w:pPr>
        <w:pStyle w:val="TextBody"/>
        <w:bidi w:val="0"/>
        <w:spacing w:before="120" w:after="283"/>
        <w:jc w:val="both"/>
        <w:rPr>
          <w:rFonts w:ascii="Arial" w:hAnsi="Arial"/>
          <w:color w:val="000000"/>
          <w:sz w:val="16"/>
        </w:rPr>
      </w:pPr>
      <w:r>
        <w:rPr>
          <w:rFonts w:ascii="Arial" w:hAnsi="Arial"/>
          <w:color w:val="000000"/>
          <w:sz w:val="16"/>
        </w:rPr>
        <w:t>Included within Other non-current assets is UNIFI’s investment in unconsolidated affiliate: UNF America LLC (“UNFA”).</w:t>
      </w:r>
    </w:p>
    <w:p>
      <w:pPr>
        <w:pStyle w:val="TextBody"/>
        <w:bidi w:val="0"/>
        <w:spacing w:before="240" w:after="120"/>
        <w:jc w:val="both"/>
        <w:rPr>
          <w:rFonts w:ascii="Times New Roman" w:hAnsi="Times New Roman"/>
          <w:sz w:val="20"/>
        </w:rPr>
      </w:pPr>
      <w:r>
        <w:rPr>
          <w:rFonts w:ascii="Arial" w:hAnsi="Arial"/>
          <w:color w:val="000000"/>
          <w:sz w:val="16"/>
        </w:rPr>
        <w:t>UNIFI’s raw material purchases under its supply agreement with UNFA consisted of the following:</w:t>
      </w:r>
      <w:r>
        <w:rPr>
          <w:rFonts w:ascii="Times New Roman" w:hAnsi="Times New Roman"/>
          <w:color w:val="000000"/>
          <w:sz w:val="20"/>
        </w:rPr>
        <w:t xml:space="preserve"> </w:t>
      </w:r>
    </w:p>
    <w:tbl>
      <w:tblPr>
        <w:tblW w:w="8272" w:type="dxa"/>
        <w:jc w:val="left"/>
        <w:tblInd w:w="0" w:type="dxa"/>
        <w:tblLayout w:type="fixed"/>
        <w:tblCellMar>
          <w:top w:w="28" w:type="dxa"/>
          <w:left w:w="28" w:type="dxa"/>
          <w:bottom w:w="28" w:type="dxa"/>
          <w:right w:w="28" w:type="dxa"/>
        </w:tblCellMar>
      </w:tblPr>
      <w:tblGrid>
        <w:gridCol w:w="571"/>
        <w:gridCol w:w="146"/>
        <w:gridCol w:w="436"/>
        <w:gridCol w:w="1139"/>
        <w:gridCol w:w="202"/>
        <w:gridCol w:w="202"/>
        <w:gridCol w:w="436"/>
        <w:gridCol w:w="1139"/>
        <w:gridCol w:w="146"/>
        <w:gridCol w:w="146"/>
        <w:gridCol w:w="435"/>
        <w:gridCol w:w="1140"/>
        <w:gridCol w:w="184"/>
        <w:gridCol w:w="184"/>
        <w:gridCol w:w="435"/>
        <w:gridCol w:w="1140"/>
        <w:gridCol w:w="191"/>
      </w:tblGrid>
      <w:tr>
        <w:trPr/>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5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2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UNFA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2,978</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7,399</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7,042</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jc w:val="both"/>
        <w:rPr>
          <w:rFonts w:ascii="Times New Roman" w:hAnsi="Times New Roman"/>
          <w:sz w:val="20"/>
        </w:rPr>
      </w:pPr>
      <w:r>
        <w:rPr>
          <w:rFonts w:ascii="Arial" w:hAnsi="Arial"/>
          <w:color w:val="000000"/>
          <w:sz w:val="16"/>
        </w:rPr>
        <w:t>As of December 28, 2025, UNIFI’s open purchase orders related to this supply agreement were $0. As of December 28, 2025 and June 29, 2025, UNIFI had accounts payable due to UNFA of $679</w:t>
      </w:r>
      <w:r>
        <w:rPr>
          <w:rFonts w:ascii="Times New Roman" w:hAnsi="Times New Roman"/>
          <w:color w:val="000000"/>
          <w:sz w:val="20"/>
        </w:rPr>
        <w:t xml:space="preserve"> </w:t>
      </w:r>
      <w:r>
        <w:rPr>
          <w:rFonts w:ascii="Arial" w:hAnsi="Arial"/>
          <w:color w:val="000000"/>
          <w:sz w:val="16"/>
        </w:rPr>
        <w:t>and $1,368, respectively.</w:t>
      </w:r>
    </w:p>
    <w:p>
      <w:pPr>
        <w:pStyle w:val="TextBody"/>
        <w:bidi w:val="0"/>
        <w:spacing w:before="240" w:after="283"/>
        <w:jc w:val="both"/>
        <w:rPr>
          <w:rFonts w:ascii="Times New Roman" w:hAnsi="Times New Roman"/>
          <w:sz w:val="20"/>
        </w:rPr>
      </w:pPr>
      <w:r>
        <w:rPr>
          <w:rFonts w:ascii="Arial" w:hAnsi="Arial"/>
          <w:color w:val="000000"/>
          <w:sz w:val="16"/>
        </w:rPr>
        <w:t>Other than the supply agreement discussed above, UNIFI does not provide any other commitments or guarantees related to UNFA. As of December 28, 2025 and June 29, 2025, UNIFI’s investment in UNFA was $1,141</w:t>
      </w:r>
      <w:r>
        <w:rPr>
          <w:rFonts w:ascii="Times New Roman" w:hAnsi="Times New Roman"/>
          <w:color w:val="000000"/>
          <w:sz w:val="20"/>
        </w:rPr>
        <w:t xml:space="preserve"> </w:t>
      </w:r>
      <w:r>
        <w:rPr>
          <w:rFonts w:ascii="Arial" w:hAnsi="Arial"/>
          <w:color w:val="000000"/>
          <w:sz w:val="16"/>
        </w:rPr>
        <w:t>and $1,151, respectively. There have been no significant changes in the condensed balance sheet and income statement information for UNFA as previously disclosed in the 2025 Form 10-K.</w:t>
      </w:r>
    </w:p>
    <w:p>
      <w:pPr>
        <w:pStyle w:val="TextBody"/>
        <w:bidi w:val="0"/>
        <w:jc w:val="left"/>
        <w:rPr/>
      </w:pPr>
      <w:r>
        <w:rPr/>
        <w:t> </w:t>
      </w:r>
    </w:p>
    <w:p>
      <w:pPr>
        <w:pStyle w:val="TextBody"/>
        <w:bidi w:val="0"/>
        <w:spacing w:before="200" w:after="283"/>
        <w:jc w:val="both"/>
        <w:rPr>
          <w:rFonts w:ascii="Arial" w:hAnsi="Arial"/>
          <w:b/>
          <w:color w:val="000000"/>
          <w:sz w:val="16"/>
        </w:rPr>
      </w:pPr>
      <w:r>
        <w:rPr>
          <w:rFonts w:ascii="Arial" w:hAnsi="Arial"/>
          <w:b/>
          <w:color w:val="000000"/>
          <w:sz w:val="16"/>
        </w:rPr>
        <w:t>14. Supplemental Cash Flow Information</w:t>
      </w:r>
    </w:p>
    <w:p>
      <w:pPr>
        <w:pStyle w:val="TextBody"/>
        <w:bidi w:val="0"/>
        <w:spacing w:before="120" w:after="120"/>
        <w:jc w:val="both"/>
        <w:rPr>
          <w:rFonts w:ascii="Arial" w:hAnsi="Arial"/>
          <w:color w:val="000000"/>
          <w:sz w:val="16"/>
        </w:rPr>
      </w:pPr>
      <w:r>
        <w:rPr>
          <w:rFonts w:ascii="Arial" w:hAnsi="Arial"/>
          <w:color w:val="000000"/>
          <w:sz w:val="16"/>
        </w:rPr>
        <w:t>Cash payments for interest and taxes consist of the following:</w:t>
      </w:r>
    </w:p>
    <w:tbl>
      <w:tblPr>
        <w:tblW w:w="8439" w:type="dxa"/>
        <w:jc w:val="left"/>
        <w:tblInd w:w="0" w:type="dxa"/>
        <w:tblLayout w:type="fixed"/>
        <w:tblCellMar>
          <w:top w:w="28" w:type="dxa"/>
          <w:left w:w="28" w:type="dxa"/>
          <w:bottom w:w="28" w:type="dxa"/>
          <w:right w:w="28" w:type="dxa"/>
        </w:tblCellMar>
      </w:tblPr>
      <w:tblGrid>
        <w:gridCol w:w="4576"/>
        <w:gridCol w:w="146"/>
        <w:gridCol w:w="402"/>
        <w:gridCol w:w="1173"/>
        <w:gridCol w:w="200"/>
        <w:gridCol w:w="176"/>
        <w:gridCol w:w="435"/>
        <w:gridCol w:w="1140"/>
        <w:gridCol w:w="191"/>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Arial" w:hAnsi="Arial"/>
                <w:color w:val="000000"/>
                <w:sz w:val="16"/>
              </w:rPr>
              <w:t>Interest, net of capitalized interest of $8</w:t>
            </w:r>
            <w:r>
              <w:rPr>
                <w:rFonts w:ascii="Times New Roman" w:hAnsi="Times New Roman"/>
                <w:color w:val="000000"/>
                <w:sz w:val="20"/>
              </w:rPr>
              <w:t> </w:t>
            </w:r>
            <w:r>
              <w:rPr>
                <w:rFonts w:ascii="Arial" w:hAnsi="Arial"/>
                <w:color w:val="000000"/>
                <w:sz w:val="16"/>
              </w:rPr>
              <w:t>and $80,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3,686</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4,781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 (refunds) payments,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(1,128</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4,033</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both"/>
        <w:rPr>
          <w:rFonts w:ascii="Arial" w:hAnsi="Arial"/>
          <w:color w:val="000000"/>
          <w:sz w:val="16"/>
        </w:rPr>
      </w:pPr>
      <w:r>
        <w:rPr>
          <w:rFonts w:ascii="Arial" w:hAnsi="Arial"/>
          <w:color w:val="000000"/>
          <w:sz w:val="16"/>
        </w:rPr>
        <w:t>Cash payments for taxes shown above consist primarily of income and withholding tax payments made by UNIFI in both U.S. and foreign jurisdictions, net of refunds.</w:t>
      </w:r>
    </w:p>
    <w:p>
      <w:pPr>
        <w:pStyle w:val="TextBody"/>
        <w:bidi w:val="0"/>
        <w:spacing w:before="240" w:after="283"/>
        <w:jc w:val="both"/>
        <w:rPr>
          <w:rFonts w:ascii="Arial" w:hAnsi="Arial"/>
          <w:i/>
          <w:color w:val="000000"/>
          <w:sz w:val="16"/>
        </w:rPr>
      </w:pPr>
      <w:r>
        <w:rPr>
          <w:rFonts w:ascii="Arial" w:hAnsi="Arial"/>
          <w:i/>
          <w:color w:val="000000"/>
          <w:sz w:val="16"/>
        </w:rPr>
        <w:t>Non-Cash Investing and Financing Activities</w:t>
      </w:r>
    </w:p>
    <w:p>
      <w:pPr>
        <w:pStyle w:val="TextBody"/>
        <w:bidi w:val="0"/>
        <w:spacing w:before="120" w:after="283"/>
        <w:jc w:val="both"/>
        <w:rPr>
          <w:rFonts w:ascii="Times New Roman" w:hAnsi="Times New Roman"/>
          <w:sz w:val="20"/>
        </w:rPr>
      </w:pPr>
      <w:r>
        <w:rPr>
          <w:rFonts w:ascii="Arial" w:hAnsi="Arial"/>
          <w:color w:val="000000"/>
          <w:sz w:val="16"/>
        </w:rPr>
        <w:t>As of December 28, 2025 and June 29, 2025, $130</w:t>
      </w:r>
      <w:r>
        <w:rPr>
          <w:rFonts w:ascii="Times New Roman" w:hAnsi="Times New Roman"/>
          <w:color w:val="000000"/>
          <w:sz w:val="20"/>
        </w:rPr>
        <w:t xml:space="preserve"> </w:t>
      </w:r>
      <w:r>
        <w:rPr>
          <w:rFonts w:ascii="Arial" w:hAnsi="Arial"/>
          <w:color w:val="000000"/>
          <w:sz w:val="16"/>
        </w:rPr>
        <w:t>and $676, respectively, were included in accounts payable for unpaid capital expenditures. As of December 29, 2024 and June 30, 2024, $702</w:t>
      </w:r>
      <w:r>
        <w:rPr>
          <w:rFonts w:ascii="Times New Roman" w:hAnsi="Times New Roman"/>
          <w:color w:val="000000"/>
          <w:sz w:val="20"/>
        </w:rPr>
        <w:t xml:space="preserve"> </w:t>
      </w:r>
      <w:r>
        <w:rPr>
          <w:rFonts w:ascii="Arial" w:hAnsi="Arial"/>
          <w:color w:val="000000"/>
          <w:sz w:val="16"/>
        </w:rPr>
        <w:t>and $879, respectively, were included in accounts payable for unpaid capital expenditures.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Arial" w:hAnsi="Arial"/>
          <w:color w:val="000000"/>
          <w:sz w:val="16"/>
        </w:rPr>
        <w:t>During the six-months ended December 28, 2025 and December 29, 2024, UNIFI recorded non-cash activity relating to finance leases of $3,705</w:t>
      </w:r>
      <w:r>
        <w:rPr>
          <w:rFonts w:ascii="Times New Roman" w:hAnsi="Times New Roman"/>
          <w:color w:val="000000"/>
          <w:sz w:val="20"/>
        </w:rPr>
        <w:t xml:space="preserve"> </w:t>
      </w:r>
      <w:r>
        <w:rPr>
          <w:rFonts w:ascii="Arial" w:hAnsi="Arial"/>
          <w:color w:val="000000"/>
          <w:sz w:val="16"/>
        </w:rPr>
        <w:t>and $0, respectively.</w:t>
      </w:r>
    </w:p>
    <w:p>
      <w:pPr>
        <w:pStyle w:val="TextBody"/>
        <w:bidi w:val="0"/>
        <w:spacing w:before="240" w:after="283"/>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11</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Condensed Consolidated Financial Statements (Continued)</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pPr>
      <w:r>
        <w:rPr/>
        <w:t> </w:t>
      </w:r>
    </w:p>
    <w:p>
      <w:pPr>
        <w:pStyle w:val="TextBody"/>
        <w:bidi w:val="0"/>
        <w:spacing w:before="200" w:after="283"/>
        <w:jc w:val="both"/>
        <w:rPr>
          <w:rFonts w:ascii="Arial" w:hAnsi="Arial"/>
          <w:b/>
          <w:color w:val="000000"/>
          <w:sz w:val="16"/>
        </w:rPr>
      </w:pPr>
      <w:r>
        <w:rPr>
          <w:rFonts w:ascii="Arial" w:hAnsi="Arial"/>
          <w:b/>
          <w:color w:val="000000"/>
          <w:sz w:val="16"/>
        </w:rPr>
        <w:t>15. Restructuring Costs, Net</w:t>
      </w:r>
    </w:p>
    <w:p>
      <w:pPr>
        <w:pStyle w:val="TextBody"/>
        <w:bidi w:val="0"/>
        <w:spacing w:before="120" w:after="283"/>
        <w:jc w:val="both"/>
        <w:rPr>
          <w:rFonts w:ascii="Times New Roman" w:hAnsi="Times New Roman"/>
          <w:sz w:val="20"/>
        </w:rPr>
      </w:pPr>
      <w:r>
        <w:rPr>
          <w:rFonts w:ascii="Arial" w:hAnsi="Arial"/>
          <w:color w:val="000000"/>
          <w:sz w:val="16"/>
        </w:rPr>
        <w:t>On February 3, 2025, UNIFI announced the pending closure of its manufacturing facility in Madison, North Carolina, and a plan to transition the associated manufacturing operations to other production facilities in North and Central America. In the fourth quarter of fiscal 2025, UNIFI sold the Madison, North Carolina facility, as well as certain machinery and equipment located thereon, for a cash purchase price of $45,000</w:t>
      </w:r>
      <w:r>
        <w:rPr>
          <w:rFonts w:ascii="Times New Roman" w:hAnsi="Times New Roman"/>
          <w:color w:val="000000"/>
          <w:sz w:val="20"/>
        </w:rPr>
        <w:t xml:space="preserve"> </w:t>
      </w:r>
      <w:r>
        <w:rPr>
          <w:rFonts w:ascii="Arial" w:hAnsi="Arial"/>
          <w:color w:val="000000"/>
          <w:sz w:val="16"/>
        </w:rPr>
        <w:t>(the "Madison Sale"). The net proceeds of the Madison Sale were used to repay a portion of the principal balance of the term loan and revolving credit facility outstanding under the 2022 Credit Agreement.</w:t>
      </w:r>
    </w:p>
    <w:p>
      <w:pPr>
        <w:pStyle w:val="TextBody"/>
        <w:bidi w:val="0"/>
        <w:spacing w:before="240" w:after="283"/>
        <w:jc w:val="both"/>
        <w:rPr>
          <w:rFonts w:ascii="Arial" w:hAnsi="Arial"/>
          <w:color w:val="000000"/>
          <w:sz w:val="16"/>
        </w:rPr>
      </w:pPr>
      <w:r>
        <w:rPr>
          <w:rFonts w:ascii="Arial" w:hAnsi="Arial"/>
          <w:color w:val="000000"/>
          <w:sz w:val="16"/>
        </w:rPr>
        <w:t>As part of the Madison Sale, the Company entered into an amendment to the purchase agreement for the potential payment of deferred compensation to UNIFI in the amount of (i) $8,000, if certain energy supply conditions are met within two years of closing, (ii) $5,000, if the same conditions are not met within two years of closing but are met within three years of closing, and (iii) up to $5,000, if certain additional energy conditions beyond those referred to in (i) and (ii) are met within four years of closing. The maximum potential future payments to UNIFI are $13,000. No amounts related to such future payments have been recorded in the Consolidated Financial Statements as of December 28, 2025.</w:t>
      </w:r>
    </w:p>
    <w:p>
      <w:pPr>
        <w:pStyle w:val="TextBody"/>
        <w:bidi w:val="0"/>
        <w:spacing w:before="240" w:after="283"/>
        <w:jc w:val="both"/>
        <w:rPr>
          <w:rFonts w:ascii="Times New Roman" w:hAnsi="Times New Roman"/>
          <w:sz w:val="20"/>
        </w:rPr>
      </w:pPr>
      <w:r>
        <w:rPr>
          <w:rFonts w:ascii="Arial" w:hAnsi="Arial"/>
          <w:color w:val="000000"/>
          <w:sz w:val="16"/>
        </w:rPr>
        <w:t>During the three and six months ended December 28, 2025, UNIFI incurred transition costs related to the consolidation of Americas yarn manufacturing operations discussed above for facility closure and equipment relocation costs including asset impairments and disposals net of any salvage proceeds and employee separation costs that were recorded within Restructuring costs, net in the Consolidated Statements of Operations.</w:t>
      </w:r>
      <w:r>
        <w:rPr>
          <w:rFonts w:ascii="Times New Roman" w:hAnsi="Times New Roman"/>
          <w:color w:val="000000"/>
          <w:sz w:val="20"/>
        </w:rPr>
        <w:t xml:space="preserve"> </w:t>
      </w:r>
    </w:p>
    <w:p>
      <w:pPr>
        <w:pStyle w:val="TextBody"/>
        <w:bidi w:val="0"/>
        <w:spacing w:before="240" w:after="120"/>
        <w:jc w:val="left"/>
        <w:rPr>
          <w:rFonts w:ascii="Arial" w:hAnsi="Arial"/>
          <w:color w:val="000000"/>
          <w:sz w:val="16"/>
        </w:rPr>
      </w:pPr>
      <w:r>
        <w:rPr>
          <w:rFonts w:ascii="Arial" w:hAnsi="Arial"/>
          <w:color w:val="000000"/>
          <w:sz w:val="16"/>
        </w:rPr>
        <w:t>The restructuring expenses (benefits) incurred in all periods primarily impacted the Americas Segment.</w:t>
      </w:r>
    </w:p>
    <w:p>
      <w:pPr>
        <w:pStyle w:val="TextBody"/>
        <w:bidi w:val="0"/>
        <w:spacing w:before="120" w:after="120"/>
        <w:jc w:val="both"/>
        <w:rPr>
          <w:rFonts w:ascii="Arial" w:hAnsi="Arial"/>
          <w:color w:val="000000"/>
          <w:sz w:val="16"/>
        </w:rPr>
      </w:pPr>
      <w:r>
        <w:rPr>
          <w:rFonts w:ascii="Arial" w:hAnsi="Arial"/>
          <w:color w:val="000000"/>
          <w:sz w:val="16"/>
        </w:rPr>
        <w:t>A summary of the restructuring activities (benefits) consists of the following:</w:t>
      </w:r>
    </w:p>
    <w:tbl>
      <w:tblPr>
        <w:tblW w:w="8725" w:type="dxa"/>
        <w:jc w:val="left"/>
        <w:tblInd w:w="0" w:type="dxa"/>
        <w:tblLayout w:type="fixed"/>
        <w:tblCellMar>
          <w:top w:w="28" w:type="dxa"/>
          <w:left w:w="28" w:type="dxa"/>
          <w:bottom w:w="28" w:type="dxa"/>
          <w:right w:w="28" w:type="dxa"/>
        </w:tblCellMar>
      </w:tblPr>
      <w:tblGrid>
        <w:gridCol w:w="3526"/>
        <w:gridCol w:w="146"/>
        <w:gridCol w:w="605"/>
        <w:gridCol w:w="1765"/>
        <w:gridCol w:w="166"/>
        <w:gridCol w:w="146"/>
        <w:gridCol w:w="552"/>
        <w:gridCol w:w="1608"/>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Facility closure and equipment relocation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Employee separation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Beginning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disposals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payments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Liability as of December 28,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Times New Roman" w:hAnsi="Times New Roman"/>
          <w:sz w:val="20"/>
        </w:rPr>
      </w:pPr>
      <w:r>
        <w:rPr>
          <w:rFonts w:ascii="Arial" w:hAnsi="Arial"/>
          <w:color w:val="000000"/>
          <w:sz w:val="16"/>
        </w:rPr>
        <w:t>During October 2025, UNIFI implemented additional cost-saving initiatives that included reducing variable manufacturing costs across labor, spend, and support functions, while also eliminating salaried positions in the U.S. (the "Fiscal 2026 Profit Improvement Plan"). During the three-months ended December 28, 2025, UNIFI incurred employee separation costs of $1,093</w:t>
      </w:r>
      <w:r>
        <w:rPr>
          <w:rFonts w:ascii="Times New Roman" w:hAnsi="Times New Roman"/>
          <w:color w:val="000000"/>
          <w:sz w:val="20"/>
        </w:rPr>
        <w:t xml:space="preserve"> </w:t>
      </w:r>
      <w:r>
        <w:rPr>
          <w:rFonts w:ascii="Arial" w:hAnsi="Arial"/>
          <w:color w:val="000000"/>
          <w:sz w:val="16"/>
        </w:rPr>
        <w:t>related to the Fiscal 2026 Profit Improvement Plan.</w:t>
      </w:r>
      <w:r>
        <w:rPr>
          <w:rFonts w:ascii="Times New Roman" w:hAnsi="Times New Roman"/>
          <w:color w:val="000000"/>
          <w:sz w:val="20"/>
        </w:rPr>
        <w:t xml:space="preserve"> </w:t>
      </w:r>
    </w:p>
    <w:p>
      <w:pPr>
        <w:pStyle w:val="TextBody"/>
        <w:bidi w:val="0"/>
        <w:spacing w:before="240" w:after="283"/>
        <w:jc w:val="center"/>
        <w:rPr>
          <w:rFonts w:ascii="Arial" w:hAnsi="Arial"/>
          <w:color w:val="000000"/>
          <w:sz w:val="16"/>
        </w:rPr>
      </w:pPr>
      <w:r>
        <w:rPr>
          <w:rFonts w:ascii="Arial" w:hAnsi="Arial"/>
          <w:color w:val="000000"/>
          <w:sz w:val="16"/>
        </w:rPr>
        <w:t>12</w:t>
      </w:r>
    </w:p>
    <w:p>
      <w:pPr>
        <w:pStyle w:val="HorizontalLine"/>
        <w:pBdr>
          <w:bottom w:val="double" w:sz="2" w:space="0" w:color="808080"/>
        </w:pBdr>
        <w:bidi w:val="0"/>
        <w:spacing w:before="0" w:after="283"/>
        <w:jc w:val="left"/>
        <w:rPr/>
      </w:pPr>
      <w:r>
        <w:rPr/>
      </w:r>
    </w:p>
    <w:p>
      <w:pPr>
        <w:pStyle w:val="TextBody"/>
        <w:bidi w:val="0"/>
        <w:jc w:val="center"/>
        <w:rPr>
          <w:rFonts w:ascii="Arial" w:hAnsi="Arial"/>
          <w:b/>
          <w:color w:val="000000"/>
          <w:sz w:val="16"/>
        </w:rPr>
      </w:pPr>
      <w:r>
        <w:rPr>
          <w:rFonts w:ascii="Arial" w:hAnsi="Arial"/>
          <w:b/>
          <w:color w:val="000000"/>
          <w:sz w:val="16"/>
        </w:rPr>
        <w:t>Unifi, Inc.</w:t>
      </w:r>
    </w:p>
    <w:p>
      <w:pPr>
        <w:pStyle w:val="TextBody"/>
        <w:bidi w:val="0"/>
        <w:jc w:val="center"/>
        <w:rPr>
          <w:rFonts w:ascii="Arial" w:hAnsi="Arial"/>
          <w:b/>
          <w:color w:val="000000"/>
          <w:sz w:val="16"/>
        </w:rPr>
      </w:pPr>
      <w:r>
        <w:rPr>
          <w:rFonts w:ascii="Arial" w:hAnsi="Arial"/>
          <w:b/>
          <w:color w:val="000000"/>
          <w:sz w:val="16"/>
        </w:rPr>
        <w:t>Notes to Condensed Consolidated Financial Statements (Continued)</w:t>
      </w:r>
    </w:p>
    <w:p>
      <w:pPr>
        <w:pStyle w:val="TextBody"/>
        <w:bidi w:val="0"/>
        <w:jc w:val="center"/>
        <w:rPr>
          <w:rFonts w:ascii="Arial" w:hAnsi="Arial"/>
          <w:b/>
          <w:color w:val="000000"/>
          <w:sz w:val="16"/>
        </w:rPr>
      </w:pPr>
      <w:r>
        <w:rPr>
          <w:rFonts w:ascii="Arial" w:hAnsi="Arial"/>
          <w:b/>
          <w:color w:val="000000"/>
          <w:sz w:val="16"/>
        </w:rPr>
        <w:t>(Unaudited)</w:t>
      </w:r>
    </w:p>
    <w:p>
      <w:pPr>
        <w:pStyle w:val="TextBody"/>
        <w:bidi w:val="0"/>
        <w:jc w:val="center"/>
        <w:rPr/>
      </w:pPr>
      <w:r>
        <w:rPr/>
        <w:t> </w:t>
      </w:r>
    </w:p>
    <w:p>
      <w:pPr>
        <w:pStyle w:val="TextBody"/>
        <w:bidi w:val="0"/>
        <w:spacing w:before="40" w:after="283"/>
        <w:jc w:val="both"/>
        <w:rPr>
          <w:rFonts w:ascii="Arial" w:hAnsi="Arial"/>
          <w:b/>
          <w:color w:val="000000"/>
          <w:sz w:val="16"/>
        </w:rPr>
      </w:pPr>
      <w:r>
        <w:rPr>
          <w:rFonts w:ascii="Arial" w:hAnsi="Arial"/>
          <w:b/>
          <w:color w:val="000000"/>
          <w:sz w:val="16"/>
        </w:rPr>
        <w:t>16. Other Financial Data</w:t>
      </w:r>
    </w:p>
    <w:p>
      <w:pPr>
        <w:pStyle w:val="TextBody"/>
        <w:bidi w:val="0"/>
        <w:spacing w:before="80" w:after="80"/>
        <w:jc w:val="both"/>
        <w:rPr>
          <w:rFonts w:ascii="Arial" w:hAnsi="Arial"/>
          <w:color w:val="000000"/>
          <w:sz w:val="16"/>
        </w:rPr>
      </w:pPr>
      <w:r>
        <w:rPr>
          <w:rFonts w:ascii="Arial" w:hAnsi="Arial"/>
          <w:color w:val="000000"/>
          <w:sz w:val="16"/>
        </w:rPr>
        <w:t>Select balance sheet information is presented in the following table.</w:t>
      </w:r>
    </w:p>
    <w:tbl>
      <w:tblPr>
        <w:tblW w:w="7330" w:type="dxa"/>
        <w:jc w:val="left"/>
        <w:tblInd w:w="0" w:type="dxa"/>
        <w:tblLayout w:type="fixed"/>
        <w:tblCellMar>
          <w:top w:w="28" w:type="dxa"/>
          <w:left w:w="28" w:type="dxa"/>
          <w:bottom w:w="28" w:type="dxa"/>
          <w:right w:w="28" w:type="dxa"/>
        </w:tblCellMar>
      </w:tblPr>
      <w:tblGrid>
        <w:gridCol w:w="3916"/>
        <w:gridCol w:w="146"/>
        <w:gridCol w:w="326"/>
        <w:gridCol w:w="1249"/>
        <w:gridCol w:w="166"/>
        <w:gridCol w:w="146"/>
        <w:gridCol w:w="242"/>
        <w:gridCol w:w="928"/>
        <w:gridCol w:w="211"/>
      </w:tblGrid>
      <w:tr>
        <w:trPr/>
        <w:tc>
          <w:tcPr>
            <w:tcW w:w="3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Customer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58,603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76,594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Allowance for uncollectible accounts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Reserves for quality claims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(912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Net customer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55,776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73,231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Banker's acceptance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 receivables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818</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 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57,970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75,383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Raw materials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40,483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48,752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Supplies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Work in process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5,246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Finished goods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50,920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61,116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Gross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107,491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126,893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Net realizable value adjustment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(4,406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(3,964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103,085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122,929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Prepaid expenses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Value-added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Vendor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2,775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Contract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Land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Land improvements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Buildings and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126,872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126,720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Assets under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19,756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Machinery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585,222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593,771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Computers, software and office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Transportation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10,789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Construction in progress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1,317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2,153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Gross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783,760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790,053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(607,581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(608,133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Less: accumulated amortization –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(9,972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(8,997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 property, plant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166,207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172,923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non-current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Grantor trust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Investment in unconsolidated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 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Payroll and fringe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6,815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Incentive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5,652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Utilities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Property taxes, interest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Nonqualified deferred compensation plan obligation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Uncertain tax positions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1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1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Total other long-term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4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4,139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Arial" w:hAnsi="Arial"/>
          <w:b/>
          <w:color w:val="000000"/>
          <w:sz w:val="16"/>
        </w:rPr>
      </w:pPr>
      <w:bookmarkStart w:id="9" w:name="item_2_managements_discussion_analysis_f"/>
      <w:bookmarkEnd w:id="9"/>
      <w:r>
        <w:rPr>
          <w:rFonts w:ascii="Arial" w:hAnsi="Arial"/>
          <w:b/>
          <w:color w:val="000000"/>
          <w:sz w:val="16"/>
        </w:rPr>
        <w:t>Item 2. Management’s Discussion and Analysis of Financial Condition and Results of Operations</w:t>
      </w:r>
    </w:p>
    <w:p>
      <w:pPr>
        <w:pStyle w:val="TextBody"/>
        <w:bidi w:val="0"/>
        <w:spacing w:before="120" w:after="283"/>
        <w:jc w:val="both"/>
        <w:rPr>
          <w:rFonts w:ascii="Arial" w:hAnsi="Arial"/>
          <w:color w:val="000000"/>
          <w:sz w:val="16"/>
        </w:rPr>
      </w:pPr>
      <w:r>
        <w:rPr>
          <w:rFonts w:ascii="Arial" w:hAnsi="Arial"/>
          <w:color w:val="000000"/>
          <w:sz w:val="16"/>
        </w:rPr>
        <w:t>The following is management’s discussion and analysis of certain significant factors that have affected UNIFI’s operations, along with material changes in financial condition, during the periods included in the accompanying condensed consolidated financial statements. A reference to a “note” in this section refers to the accompanying notes to condensed consolidated financial statements. A reference to the “current period” refers to the three-month period ended December 28, 2025, while a reference to the “prior period” refers to the three-month period ended December 29, 2024. A reference to the “current six-month period” refers to the six-month period ended December 28, 2025, while a reference to the “prior six-month period” refers to the six-month period ended December 29, 2024. Such references may be accompanied by certain phrases for added clarity. The current period and the prior period each consisted of 13 weeks. The current six-month period and the prior six-month period each consisted of 26 weeks.</w:t>
      </w:r>
    </w:p>
    <w:p>
      <w:pPr>
        <w:pStyle w:val="TextBody"/>
        <w:bidi w:val="0"/>
        <w:spacing w:before="240" w:after="283"/>
        <w:jc w:val="both"/>
        <w:rPr>
          <w:rFonts w:ascii="Arial" w:hAnsi="Arial"/>
          <w:color w:val="000000"/>
          <w:sz w:val="16"/>
        </w:rPr>
      </w:pPr>
      <w:r>
        <w:rPr>
          <w:rFonts w:ascii="Arial" w:hAnsi="Arial"/>
          <w:color w:val="000000"/>
          <w:sz w:val="16"/>
        </w:rPr>
        <w:t>Our discussions in this Item 2 focus on our results during, or as of, the three months ended December 28, 2025 and December 29, 2024, and, to the extent applicable, any material changes from the information discussed in the 2025 Form 10-K or other important intervening developments or information. These discussions should be read in conjunction with the 2025 Form 10-K for more detailed and background information about our business, operations, and financial condition.</w:t>
      </w:r>
    </w:p>
    <w:p>
      <w:pPr>
        <w:pStyle w:val="TextBody"/>
        <w:bidi w:val="0"/>
        <w:spacing w:before="240" w:after="283"/>
        <w:jc w:val="both"/>
        <w:rPr>
          <w:rFonts w:ascii="Arial" w:hAnsi="Arial"/>
          <w:color w:val="000000"/>
          <w:sz w:val="16"/>
        </w:rPr>
      </w:pPr>
      <w:r>
        <w:rPr>
          <w:rFonts w:ascii="Arial" w:hAnsi="Arial"/>
          <w:color w:val="000000"/>
          <w:sz w:val="16"/>
        </w:rPr>
        <w:t>Discussion of foreign currency translation is primarily associated with changes in the Brazilian Real (“BRL”) and changes in the Chinese Renminbi (“RMB”) versus the U.S. Dollar (“USD”). Weighted average exchange rates were as follows:</w:t>
      </w:r>
    </w:p>
    <w:p>
      <w:pPr>
        <w:pStyle w:val="TextBody"/>
        <w:bidi w:val="0"/>
        <w:jc w:val="both"/>
        <w:rPr/>
      </w:pPr>
      <w:r>
        <w:rPr/>
        <w:t> </w:t>
      </w:r>
    </w:p>
    <w:tbl>
      <w:tblPr>
        <w:tblW w:w="8760" w:type="dxa"/>
        <w:jc w:val="left"/>
        <w:tblInd w:w="0" w:type="dxa"/>
        <w:tblLayout w:type="fixed"/>
        <w:tblCellMar>
          <w:top w:w="28" w:type="dxa"/>
          <w:left w:w="28" w:type="dxa"/>
          <w:bottom w:w="28" w:type="dxa"/>
          <w:right w:w="28" w:type="dxa"/>
        </w:tblCellMar>
      </w:tblPr>
      <w:tblGrid>
        <w:gridCol w:w="1051"/>
        <w:gridCol w:w="405"/>
        <w:gridCol w:w="1170"/>
        <w:gridCol w:w="242"/>
        <w:gridCol w:w="242"/>
        <w:gridCol w:w="405"/>
        <w:gridCol w:w="1170"/>
        <w:gridCol w:w="146"/>
        <w:gridCol w:w="146"/>
        <w:gridCol w:w="405"/>
        <w:gridCol w:w="1170"/>
        <w:gridCol w:w="221"/>
        <w:gridCol w:w="221"/>
        <w:gridCol w:w="405"/>
        <w:gridCol w:w="1170"/>
        <w:gridCol w:w="191"/>
      </w:tblGrid>
      <w:tr>
        <w:trPr/>
        <w:tc>
          <w:tcPr>
            <w:tcW w:w="105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3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2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BRL to USD</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RMB to USD</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7.09</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7.12</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All amounts, except per share amounts, are presented in thousands (000s), except as otherwise noted.</w:t>
      </w:r>
    </w:p>
    <w:p>
      <w:pPr>
        <w:pStyle w:val="TextBody"/>
        <w:bidi w:val="0"/>
        <w:spacing w:before="360" w:after="120"/>
        <w:jc w:val="both"/>
        <w:rPr>
          <w:rFonts w:ascii="Arial" w:hAnsi="Arial"/>
          <w:b/>
          <w:color w:val="000000"/>
          <w:sz w:val="16"/>
        </w:rPr>
      </w:pPr>
      <w:r>
        <w:rPr>
          <w:rFonts w:ascii="Arial" w:hAnsi="Arial"/>
          <w:b/>
          <w:color w:val="000000"/>
          <w:sz w:val="16"/>
        </w:rPr>
        <w:t>Overview and Significant General Matters</w:t>
      </w:r>
    </w:p>
    <w:p>
      <w:pPr>
        <w:pStyle w:val="TextBody"/>
        <w:bidi w:val="0"/>
        <w:jc w:val="both"/>
        <w:rPr>
          <w:rFonts w:ascii="Times New Roman" w:hAnsi="Times New Roman"/>
          <w:sz w:val="20"/>
        </w:rPr>
      </w:pPr>
      <w:r>
        <w:rPr>
          <w:rFonts w:ascii="Arial" w:hAnsi="Arial"/>
          <w:color w:val="000000"/>
          <w:sz w:val="16"/>
        </w:rPr>
        <w:t>UNIFI focuses on delivering products and solutions to direct customers and brand partners throughout the world, leveraging our internal manufacturing capabilities and an enhanced global supply chain that delivers a diverse range of synthetic and recycled fibers and polymers. Our strategic initiatives include (i) leveraging our competitive advantages to grow market share in each of the major geographies we serve, (ii) expanding our presence in non-apparel markets with additional REPREVE</w:t>
      </w:r>
      <w:r>
        <w:rPr>
          <w:rFonts w:ascii="Arial" w:hAnsi="Arial"/>
          <w:color w:val="000000"/>
          <w:sz w:val="11"/>
        </w:rPr>
        <w:t>®</w:t>
      </w:r>
      <w:r>
        <w:rPr>
          <w:rFonts w:ascii="Times New Roman" w:hAnsi="Times New Roman"/>
          <w:color w:val="000000"/>
          <w:sz w:val="20"/>
        </w:rPr>
        <w:t xml:space="preserve"> </w:t>
      </w:r>
      <w:r>
        <w:rPr>
          <w:rFonts w:ascii="Arial" w:hAnsi="Arial"/>
          <w:color w:val="000000"/>
          <w:sz w:val="16"/>
        </w:rPr>
        <w:t>products, (iii) advancing the development and commercialization of innovative and sustainable solutions, and (iv) increasing brand awareness for REPREVE</w:t>
      </w:r>
      <w:r>
        <w:rPr>
          <w:rFonts w:ascii="Arial" w:hAnsi="Arial"/>
          <w:color w:val="000000"/>
          <w:sz w:val="11"/>
        </w:rPr>
        <w:t>®</w:t>
      </w:r>
      <w:r>
        <w:rPr>
          <w:rFonts w:ascii="Arial" w:hAnsi="Arial"/>
          <w:color w:val="000000"/>
          <w:sz w:val="16"/>
        </w:rPr>
        <w:t>. We have increased our focus on sales opportunities beyond traditional apparel customers and continue to drive innovation throughout our portfolio to further diversify the business and enhance gross profit. We believe our strategic initiatives will increase revenue and profitability and generate improved cash flows from operations.</w:t>
      </w:r>
    </w:p>
    <w:p>
      <w:pPr>
        <w:pStyle w:val="TextBody"/>
        <w:bidi w:val="0"/>
        <w:spacing w:before="360" w:after="283"/>
        <w:jc w:val="both"/>
        <w:rPr>
          <w:rFonts w:ascii="Arial" w:hAnsi="Arial"/>
          <w:i/>
          <w:color w:val="000000"/>
          <w:sz w:val="16"/>
        </w:rPr>
      </w:pPr>
      <w:r>
        <w:rPr>
          <w:rFonts w:ascii="Arial" w:hAnsi="Arial"/>
          <w:i/>
          <w:color w:val="000000"/>
          <w:sz w:val="16"/>
        </w:rPr>
        <w:t>Current Economic Environment</w:t>
      </w:r>
    </w:p>
    <w:p>
      <w:pPr>
        <w:pStyle w:val="TextBody"/>
        <w:bidi w:val="0"/>
        <w:spacing w:before="200" w:after="283"/>
        <w:jc w:val="both"/>
        <w:rPr>
          <w:rFonts w:ascii="Arial" w:hAnsi="Arial"/>
          <w:color w:val="000000"/>
          <w:sz w:val="16"/>
        </w:rPr>
      </w:pPr>
      <w:r>
        <w:rPr>
          <w:rFonts w:ascii="Arial" w:hAnsi="Arial"/>
          <w:color w:val="000000"/>
          <w:sz w:val="16"/>
        </w:rPr>
        <w:t>Beyond the specific demand challenges within the textile industry, our business has been adversely impacted by: (i) the impact of inflation, including tariffs, on consumer spending, (ii) elevated interest rates for consumers and customers, including the impact on the carrying costs of customer inventories, and (iii) the volatility in customer order patterns resulting from trade and regulatory matters (including tariffs). This volatility in demand resulted from customers buying ahead of tariffs becoming effective for certain countries and difficulty in predicting final tariff assessments. A tariff structure that disproportionately impacts one country or region over another may result in a shift in manufacturing or flow of goods particularly as it relates to textile production across Asia and Central America. Such lower tariff countries or regions may be situated outside of UNIFI’s existing global supply chain. If UNIFI is unable to move production based on these shifts in regional demand, we may lose sales and experience an adverse effect on our financial condition, results of operations, or cash flows. UNIFI will continue to monitor these and other aspects of the current environment, leverage our global business model as necessary, and work closely with stakeholders to ensure business continuity and liquidity.</w:t>
      </w:r>
    </w:p>
    <w:p>
      <w:pPr>
        <w:pStyle w:val="TextBody"/>
        <w:bidi w:val="0"/>
        <w:spacing w:before="240" w:after="283"/>
        <w:jc w:val="both"/>
        <w:rPr>
          <w:rFonts w:ascii="Arial" w:hAnsi="Arial"/>
          <w:color w:val="000000"/>
          <w:sz w:val="16"/>
        </w:rPr>
      </w:pPr>
      <w:r>
        <w:rPr>
          <w:rFonts w:ascii="Arial" w:hAnsi="Arial"/>
          <w:color w:val="000000"/>
          <w:sz w:val="16"/>
        </w:rPr>
        <w:t>UNIFI has been expanding its supply chain and business model across multiple geographies over the last several years. Particularly, (i) our feedstock supply spans multiple domestic and foreign markets, (ii) our commercial position in the Central American market remains key to servicing compliant business for USMCA and CAFTA-DR programs, and (iii) we have expanded our asset light model beyond China with the addition of Unifi Textiles India in October 2024. Each of these initiatives affords us diversity in this dynamic trade environment and greater flexibility in servicing our customer base.</w:t>
      </w:r>
    </w:p>
    <w:p>
      <w:pPr>
        <w:pStyle w:val="TextBody"/>
        <w:bidi w:val="0"/>
        <w:spacing w:before="240" w:after="283"/>
        <w:jc w:val="both"/>
        <w:rPr>
          <w:rFonts w:ascii="Arial" w:hAnsi="Arial"/>
          <w:color w:val="000000"/>
          <w:sz w:val="16"/>
        </w:rPr>
      </w:pPr>
      <w:r>
        <w:rPr>
          <w:rFonts w:ascii="Arial" w:hAnsi="Arial"/>
          <w:color w:val="000000"/>
          <w:sz w:val="16"/>
        </w:rPr>
        <w:t>Specific to other ongoing geopolitical tensions, we recognize the disruption to global markets and supply chains caused by the conflicts in Ukraine and the Middle East, however we have not been directly impacted. Additionally, we are closely monitoring developments in Latin America and the Caribbean following recent U.S. military action in Venezuela. It is too early to determine how this situation may evolve or what implications it could have for UNIFI, but no direct impacts have occurred in fiscal 2026. We will continue to assess developments and react as appropriate. Indirectly, we recognize that additional or prolonged impacts to the petroleum or other global markets could cause further inflationary pressures to our global raw material costs or additional unforeseen adverse impacts.</w:t>
      </w:r>
    </w:p>
    <w:p>
      <w:pPr>
        <w:pStyle w:val="TextBody"/>
        <w:bidi w:val="0"/>
        <w:spacing w:before="360" w:after="283"/>
        <w:jc w:val="both"/>
        <w:rPr>
          <w:rFonts w:ascii="Arial" w:hAnsi="Arial"/>
          <w:i/>
          <w:color w:val="000000"/>
          <w:sz w:val="16"/>
        </w:rPr>
      </w:pPr>
      <w:r>
        <w:rPr>
          <w:rFonts w:ascii="Arial" w:hAnsi="Arial"/>
          <w:i/>
          <w:color w:val="000000"/>
          <w:sz w:val="16"/>
        </w:rPr>
        <w:t>Input Costs and Global Production Volatility</w:t>
      </w:r>
    </w:p>
    <w:p>
      <w:pPr>
        <w:pStyle w:val="TextBody"/>
        <w:bidi w:val="0"/>
        <w:spacing w:before="120" w:after="283"/>
        <w:jc w:val="both"/>
        <w:rPr>
          <w:rFonts w:ascii="Times New Roman" w:hAnsi="Times New Roman"/>
          <w:sz w:val="20"/>
        </w:rPr>
      </w:pPr>
      <w:r>
        <w:rPr>
          <w:rFonts w:ascii="Arial" w:hAnsi="Arial"/>
          <w:color w:val="000000"/>
          <w:sz w:val="16"/>
        </w:rPr>
        <w:t>Despite lower input and freight costs and a marginally more stable labor pool recently, global demand volatility and uncertainty continued into fiscal 2026. The threat of an economic slowdown and global tensions continue to create uncertainty. Such existing challenges and future uncertainty, particularly for rising input costs, labor productivity, and global demand, could worsen and/or continue for prolonged periods, materially impacting our consolidated sales, gross profit, and operating cash flows. Also, the need for future selling price adjustments in connection with inflationary costs could impact our ability to retain current customer programs and compete successfully for new programs in certain regions.</w:t>
      </w:r>
      <w:r>
        <w:rPr>
          <w:rFonts w:ascii="Times New Roman" w:hAnsi="Times New Roman"/>
          <w:color w:val="000000"/>
          <w:sz w:val="20"/>
        </w:rPr>
        <w:t xml:space="preserve"> </w:t>
      </w:r>
    </w:p>
    <w:p>
      <w:pPr>
        <w:pStyle w:val="TextBody"/>
        <w:bidi w:val="0"/>
        <w:spacing w:before="120" w:after="283"/>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Arial" w:hAnsi="Arial"/>
          <w:i/>
          <w:color w:val="000000"/>
          <w:sz w:val="16"/>
        </w:rPr>
      </w:pPr>
      <w:r>
        <w:rPr>
          <w:rFonts w:ascii="Arial" w:hAnsi="Arial"/>
          <w:i/>
          <w:color w:val="000000"/>
          <w:sz w:val="16"/>
        </w:rPr>
        <w:t>Fiscal 2026 Profit Improvement Plan</w:t>
      </w:r>
    </w:p>
    <w:p>
      <w:pPr>
        <w:pStyle w:val="TextBody"/>
        <w:bidi w:val="0"/>
        <w:spacing w:before="120" w:after="283"/>
        <w:jc w:val="both"/>
        <w:rPr>
          <w:rFonts w:ascii="Arial" w:hAnsi="Arial"/>
          <w:color w:val="000000"/>
          <w:sz w:val="16"/>
        </w:rPr>
      </w:pPr>
      <w:r>
        <w:rPr>
          <w:rFonts w:ascii="Arial" w:hAnsi="Arial"/>
          <w:color w:val="000000"/>
          <w:sz w:val="16"/>
        </w:rPr>
        <w:t>During October 2025, UNIFI implemented additional cost-saving initiatives that include reducing variable manufacturing costs across labor, spend, and support functions, while also eliminating salaried positions in the U.S. ("Fiscal 2026 Profit Improvement Plan"). Accordingly, UNIFI recorded employee separation costs of $1,093 in connection with the Fiscal 2026 Profit Improvement Plan and a $308 gain from disposals of assets from the consolidation of Americas yarn manufacturing operations.</w:t>
      </w:r>
    </w:p>
    <w:p>
      <w:pPr>
        <w:pStyle w:val="TextBody"/>
        <w:bidi w:val="0"/>
        <w:spacing w:before="360" w:after="283"/>
        <w:jc w:val="both"/>
        <w:rPr>
          <w:rFonts w:ascii="Arial" w:hAnsi="Arial"/>
          <w:b/>
          <w:color w:val="000000"/>
          <w:sz w:val="16"/>
        </w:rPr>
      </w:pPr>
      <w:r>
        <w:rPr>
          <w:rFonts w:ascii="Arial" w:hAnsi="Arial"/>
          <w:b/>
          <w:color w:val="000000"/>
          <w:sz w:val="16"/>
        </w:rPr>
        <w:t>Key Performance Indicators and Non-GAAP Financial Measures</w:t>
      </w:r>
    </w:p>
    <w:p>
      <w:pPr>
        <w:pStyle w:val="TextBody"/>
        <w:bidi w:val="0"/>
        <w:spacing w:before="120" w:after="283"/>
        <w:jc w:val="both"/>
        <w:rPr>
          <w:rFonts w:ascii="Arial" w:hAnsi="Arial"/>
          <w:color w:val="000000"/>
          <w:sz w:val="16"/>
        </w:rPr>
      </w:pPr>
      <w:r>
        <w:rPr>
          <w:rFonts w:ascii="Arial" w:hAnsi="Arial"/>
          <w:color w:val="000000"/>
          <w:sz w:val="16"/>
        </w:rPr>
        <w:t>UNIFI continuously reviews performance indicators to measure its success. These performance indicators form the basis of management’s discussion and analysis included below:</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sales volume and revenue for UNIFI and for each reportable segment;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gross (loss) profit and gross margin for UNIFI and for each reportable segment;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net loss and diluted EPS;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Segment (Loss) Profit, which equals segment gross (loss) profit plus segment depreciation expense;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unit conversion margin, which represents unit net sales price less unit raw material costs, for UNIFI and for each reportable segment;</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working capital, which represents current assets less current liabilities;</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Earnings Before Interest, Taxes, Depreciation and Amortization (“EBITDA”), which represents net loss before net interest expense, income tax expense, and depreciation and amortization expense;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Adjusted EBITDA, which represents EBITDA adjusted to exclude, from time to time, certain other adjustments necessary to understand and compare the underlying results of UNIFI;</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Adjusted Net Loss, which represents net loss calculated under GAAP, adjusted to exclude certain amounts which management believes do not reflect the ongoing operations and performance of UNIFI and/or for which exclusion may be necessary to understand and compare the underlying results of UNIFI;</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Adjusted EPS, which represents Adjusted Net Loss divided by UNIFI’s diluted weighted average common shares outstanding;</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Adjusted Working Capital, which equals receivables plus inventories and other current assets, less accounts payable and other current liabilities;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Net Debt, which represents debt principal less cash and cash equivalents.</w:t>
      </w:r>
    </w:p>
    <w:p>
      <w:pPr>
        <w:pStyle w:val="TextBody"/>
        <w:bidi w:val="0"/>
        <w:spacing w:before="240" w:after="283"/>
        <w:jc w:val="both"/>
        <w:rPr>
          <w:rFonts w:ascii="Arial" w:hAnsi="Arial"/>
          <w:color w:val="000000"/>
          <w:sz w:val="16"/>
        </w:rPr>
      </w:pPr>
      <w:r>
        <w:rPr>
          <w:rFonts w:ascii="Arial" w:hAnsi="Arial"/>
          <w:color w:val="000000"/>
          <w:sz w:val="16"/>
        </w:rPr>
        <w:t>EBITDA, Adjusted EBITDA, Adjusted Net Loss, Adjusted EPS, Adjusted Working Capital, and Net Debt (collectively, the “non-GAAP financial measures”) are not determined in accordance with GAAP and should not be considered a substitute for performance measures determined in accordance with GAAP. The calculations of the non-GAAP financial measures are subjective, based on management’s belief as to which items should be included or excluded in order to provide the most reasonable and comparable view of the underlying operating performance of the business. We may, from time to time, modify the amounts used to determine our non-GAAP financial measures. When applicable, management’s discussion and analysis includes specific consideration for items that comprise the reconciliations of its non-GAAP financial measures. We believe that these non-GAAP financial measures better reflect UNIFI’s underlying operations and performance and that their use, as operating performance measures, provides investors and analysts with a measure of operating results unaffected by differences in capital structures, capital investment cycles, and ages of related assets, among otherwise comparable companies.</w:t>
      </w:r>
    </w:p>
    <w:p>
      <w:pPr>
        <w:pStyle w:val="TextBody"/>
        <w:bidi w:val="0"/>
        <w:spacing w:before="240" w:after="283"/>
        <w:jc w:val="both"/>
        <w:rPr>
          <w:rFonts w:ascii="Arial" w:hAnsi="Arial"/>
          <w:color w:val="000000"/>
          <w:sz w:val="16"/>
        </w:rPr>
      </w:pPr>
      <w:r>
        <w:rPr>
          <w:rFonts w:ascii="Arial" w:hAnsi="Arial"/>
          <w:color w:val="000000"/>
          <w:sz w:val="16"/>
        </w:rPr>
        <w:t>Management uses Adjusted EBITDA (i) as a measurement of operating performance because it assists us in comparing our operating performance on a consistent basis, as it removes the impact of items (a) directly related to our asset base (primarily depreciation and amortization) and/or (b) that we would not expect to occur as a part of our normal business on a regular basis; (ii) for planning purposes, including the preparation of our annual operating budget; (iii) as a valuation measure for evaluating our operating performance and our capacity to incur and service debt, fund capital expenditures, and expand our business; and (iv) as one measure in determining the value of other acquisitions and dispositions. Adjusted EBITDA is a key performance metric utilized in the determination of variable compensation. We also believe Adjusted EBITDA is an appropriate supplemental measure of debt service capacity because it serves as a high-level proxy for cash generated from operations and is relevant to our fixed charge coverage ratio.</w:t>
      </w:r>
    </w:p>
    <w:p>
      <w:pPr>
        <w:pStyle w:val="TextBody"/>
        <w:bidi w:val="0"/>
        <w:spacing w:before="240" w:after="283"/>
        <w:jc w:val="both"/>
        <w:rPr>
          <w:rFonts w:ascii="Arial" w:hAnsi="Arial"/>
          <w:color w:val="000000"/>
          <w:sz w:val="16"/>
        </w:rPr>
      </w:pPr>
      <w:r>
        <w:rPr>
          <w:rFonts w:ascii="Arial" w:hAnsi="Arial"/>
          <w:color w:val="000000"/>
          <w:sz w:val="16"/>
        </w:rPr>
        <w:t>Management uses Adjusted Net Loss and Adjusted EPS (i) as measurements of net operating performance because they assist us in comparing such performance on a consistent basis, as they remove the impact of (a) items that we would not expect to occur as a part of our normal business on a regular basis and (b) components of the provision for income taxes that we would not expect to occur as a part of our underlying taxable operations; (ii) for planning purposes, including the preparation of our annual operating budget; and (iii) as measures in determining the value of other acquisitions and dispositions.</w:t>
      </w:r>
    </w:p>
    <w:p>
      <w:pPr>
        <w:pStyle w:val="TextBody"/>
        <w:bidi w:val="0"/>
        <w:spacing w:before="240" w:after="283"/>
        <w:jc w:val="both"/>
        <w:rPr>
          <w:rFonts w:ascii="Arial" w:hAnsi="Arial"/>
          <w:color w:val="000000"/>
          <w:sz w:val="16"/>
        </w:rPr>
      </w:pPr>
      <w:r>
        <w:rPr>
          <w:rFonts w:ascii="Arial" w:hAnsi="Arial"/>
          <w:color w:val="000000"/>
          <w:sz w:val="16"/>
        </w:rPr>
        <w:t>Management uses Adjusted Working Capital as an indicator of UNIFI’s production efficiency and ability to manage inventories and receivables.</w:t>
      </w:r>
    </w:p>
    <w:p>
      <w:pPr>
        <w:pStyle w:val="TextBody"/>
        <w:bidi w:val="0"/>
        <w:spacing w:before="240" w:after="283"/>
        <w:jc w:val="both"/>
        <w:rPr>
          <w:rFonts w:ascii="Arial" w:hAnsi="Arial"/>
          <w:color w:val="000000"/>
          <w:sz w:val="16"/>
        </w:rPr>
      </w:pPr>
      <w:r>
        <w:rPr>
          <w:rFonts w:ascii="Arial" w:hAnsi="Arial"/>
          <w:color w:val="000000"/>
          <w:sz w:val="16"/>
        </w:rPr>
        <w:t>Management uses Net Debt as a liquidity and leverage metric to determine how much debt would remain if all cash and cash equivalents were used to pay down debt principal.</w:t>
      </w:r>
    </w:p>
    <w:p>
      <w:pPr>
        <w:pStyle w:val="TextBody"/>
        <w:bidi w:val="0"/>
        <w:spacing w:before="240" w:after="283"/>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16"/>
        </w:rPr>
      </w:pPr>
      <w:r>
        <w:rPr>
          <w:rFonts w:ascii="Arial" w:hAnsi="Arial"/>
          <w:b/>
          <w:color w:val="000000"/>
          <w:sz w:val="16"/>
        </w:rPr>
        <w:t>Review of Results of Operations</w:t>
      </w:r>
    </w:p>
    <w:p>
      <w:pPr>
        <w:pStyle w:val="TextBody"/>
        <w:bidi w:val="0"/>
        <w:spacing w:before="240" w:after="283"/>
        <w:jc w:val="both"/>
        <w:rPr>
          <w:rFonts w:ascii="Arial" w:hAnsi="Arial"/>
          <w:b/>
          <w:color w:val="000000"/>
          <w:sz w:val="16"/>
        </w:rPr>
      </w:pPr>
      <w:r>
        <w:rPr>
          <w:rFonts w:ascii="Arial" w:hAnsi="Arial"/>
          <w:b/>
          <w:color w:val="000000"/>
          <w:sz w:val="16"/>
        </w:rPr>
        <w:t>Three Months Ended December 28, 2025 Compared to Three Months Ended December 29, 2024</w:t>
      </w:r>
    </w:p>
    <w:p>
      <w:pPr>
        <w:pStyle w:val="TextBody"/>
        <w:bidi w:val="0"/>
        <w:spacing w:before="120" w:after="283"/>
        <w:jc w:val="both"/>
        <w:rPr>
          <w:rFonts w:ascii="Arial" w:hAnsi="Arial"/>
          <w:b/>
          <w:i/>
          <w:color w:val="000000"/>
          <w:sz w:val="16"/>
        </w:rPr>
      </w:pPr>
      <w:r>
        <w:rPr>
          <w:rFonts w:ascii="Arial" w:hAnsi="Arial"/>
          <w:b/>
          <w:i/>
          <w:color w:val="000000"/>
          <w:sz w:val="16"/>
        </w:rPr>
        <w:t>Consolidated Overview</w:t>
      </w:r>
    </w:p>
    <w:p>
      <w:pPr>
        <w:pStyle w:val="TextBody"/>
        <w:bidi w:val="0"/>
        <w:spacing w:before="120" w:after="283"/>
        <w:jc w:val="both"/>
        <w:rPr>
          <w:rFonts w:ascii="Arial" w:hAnsi="Arial"/>
          <w:color w:val="000000"/>
          <w:sz w:val="16"/>
        </w:rPr>
      </w:pPr>
      <w:r>
        <w:rPr>
          <w:rFonts w:ascii="Arial" w:hAnsi="Arial"/>
          <w:color w:val="000000"/>
          <w:sz w:val="16"/>
        </w:rPr>
        <w:t>The below tables provide: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components of net loss and the percentage increase or decrease over the prior period amounts,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 reconciliation from net loss to EBITDA and Adjusted EBITDA.</w:t>
      </w:r>
    </w:p>
    <w:p>
      <w:pPr>
        <w:pStyle w:val="TextBody"/>
        <w:bidi w:val="0"/>
        <w:spacing w:before="240" w:after="283"/>
        <w:jc w:val="both"/>
        <w:rPr>
          <w:rFonts w:ascii="Arial" w:hAnsi="Arial"/>
          <w:color w:val="000000"/>
          <w:sz w:val="16"/>
        </w:rPr>
      </w:pPr>
      <w:r>
        <w:rPr>
          <w:rFonts w:ascii="Arial" w:hAnsi="Arial"/>
          <w:color w:val="000000"/>
          <w:sz w:val="16"/>
        </w:rPr>
        <w:t>Following the tables is a discussion and analysis of the significant components of net loss.</w:t>
      </w:r>
    </w:p>
    <w:p>
      <w:pPr>
        <w:pStyle w:val="TextBody"/>
        <w:bidi w:val="0"/>
        <w:spacing w:before="240" w:after="120"/>
        <w:jc w:val="left"/>
        <w:rPr>
          <w:rFonts w:ascii="Arial" w:hAnsi="Arial"/>
          <w:i/>
          <w:color w:val="000000"/>
          <w:sz w:val="16"/>
          <w:u w:val="single"/>
        </w:rPr>
      </w:pPr>
      <w:r>
        <w:rPr>
          <w:rFonts w:ascii="Arial" w:hAnsi="Arial"/>
          <w:i/>
          <w:color w:val="000000"/>
          <w:sz w:val="16"/>
          <w:u w:val="single"/>
        </w:rPr>
        <w:t>Net Loss</w:t>
      </w:r>
    </w:p>
    <w:p>
      <w:pPr>
        <w:pStyle w:val="TextBody"/>
        <w:bidi w:val="0"/>
        <w:jc w:val="both"/>
        <w:rPr/>
      </w:pPr>
      <w:r>
        <w:rPr/>
        <w:t> </w:t>
      </w:r>
    </w:p>
    <w:tbl>
      <w:tblPr>
        <w:tblW w:w="8721" w:type="dxa"/>
        <w:jc w:val="left"/>
        <w:tblInd w:w="0" w:type="dxa"/>
        <w:tblLayout w:type="fixed"/>
        <w:tblCellMar>
          <w:top w:w="28" w:type="dxa"/>
          <w:left w:w="28" w:type="dxa"/>
          <w:bottom w:w="28" w:type="dxa"/>
          <w:right w:w="28" w:type="dxa"/>
        </w:tblCellMar>
      </w:tblPr>
      <w:tblGrid>
        <w:gridCol w:w="2941"/>
        <w:gridCol w:w="146"/>
        <w:gridCol w:w="196"/>
        <w:gridCol w:w="691"/>
        <w:gridCol w:w="166"/>
        <w:gridCol w:w="146"/>
        <w:gridCol w:w="186"/>
        <w:gridCol w:w="654"/>
        <w:gridCol w:w="166"/>
        <w:gridCol w:w="146"/>
        <w:gridCol w:w="196"/>
        <w:gridCol w:w="691"/>
        <w:gridCol w:w="166"/>
        <w:gridCol w:w="146"/>
        <w:gridCol w:w="186"/>
        <w:gridCol w:w="654"/>
        <w:gridCol w:w="166"/>
        <w:gridCol w:w="146"/>
        <w:gridCol w:w="146"/>
        <w:gridCol w:w="575"/>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3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121,368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117,757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138,346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SG&amp;A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(benefit)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expense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nm = not meaningful</w:t>
      </w:r>
    </w:p>
    <w:p>
      <w:pPr>
        <w:pStyle w:val="TextBody"/>
        <w:bidi w:val="0"/>
        <w:spacing w:before="360" w:after="283"/>
        <w:jc w:val="both"/>
        <w:rPr>
          <w:rFonts w:ascii="Arial" w:hAnsi="Arial"/>
          <w:i/>
          <w:color w:val="000000"/>
          <w:sz w:val="16"/>
          <w:u w:val="single"/>
        </w:rPr>
      </w:pPr>
      <w:r>
        <w:rPr>
          <w:rFonts w:ascii="Arial" w:hAnsi="Arial"/>
          <w:i/>
          <w:color w:val="000000"/>
          <w:sz w:val="16"/>
          <w:u w:val="single"/>
        </w:rPr>
        <w:t>EBITDA and Adjusted EBITDA (Non-GAAP Financial Measures)</w:t>
      </w:r>
    </w:p>
    <w:p>
      <w:pPr>
        <w:pStyle w:val="TextBody"/>
        <w:bidi w:val="0"/>
        <w:spacing w:before="120" w:after="120"/>
        <w:jc w:val="both"/>
        <w:rPr>
          <w:rFonts w:ascii="Arial" w:hAnsi="Arial"/>
          <w:color w:val="000000"/>
          <w:sz w:val="16"/>
        </w:rPr>
      </w:pPr>
      <w:r>
        <w:rPr>
          <w:rFonts w:ascii="Arial" w:hAnsi="Arial"/>
          <w:color w:val="000000"/>
          <w:sz w:val="16"/>
        </w:rPr>
        <w:t>The reconciliations of the amounts reported under GAAP for Net loss to EBITDA and Adjusted EBITDA were as follows:</w:t>
      </w:r>
    </w:p>
    <w:tbl>
      <w:tblPr>
        <w:tblW w:w="7009" w:type="dxa"/>
        <w:jc w:val="left"/>
        <w:tblInd w:w="0" w:type="dxa"/>
        <w:tblLayout w:type="fixed"/>
        <w:tblCellMar>
          <w:top w:w="28" w:type="dxa"/>
          <w:left w:w="28" w:type="dxa"/>
          <w:bottom w:w="28" w:type="dxa"/>
          <w:right w:w="28" w:type="dxa"/>
        </w:tblCellMar>
      </w:tblPr>
      <w:tblGrid>
        <w:gridCol w:w="3121"/>
        <w:gridCol w:w="146"/>
        <w:gridCol w:w="402"/>
        <w:gridCol w:w="1173"/>
        <w:gridCol w:w="203"/>
        <w:gridCol w:w="178"/>
        <w:gridCol w:w="360"/>
        <w:gridCol w:w="1215"/>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5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1,329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Depreciation and amortization expense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5,891</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(1,534</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(1,543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73"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 of warehouse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7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(749</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7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(5,839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Within this reconciliation, depreciation and amortization expense excludes the amortization of debt issuance costs, which are reflected in interest expense, net. However, within the accompanying Condensed Consolidated Statements of Cash Flows, amortization of debt issuance costs is reflected in depreciation and amortization expense.</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2026, UNIFI recorded employee separation costs of $1,093 in connection with the Fiscal 2026 Profit Improvement Plan and a $308 gain from disposals of assets from the consolidation of Americas yarn manufacturing operations.</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i/>
          <w:color w:val="000000"/>
          <w:sz w:val="16"/>
          <w:u w:val="single"/>
        </w:rPr>
      </w:pPr>
      <w:r>
        <w:rPr>
          <w:rFonts w:ascii="Arial" w:hAnsi="Arial"/>
          <w:i/>
          <w:color w:val="000000"/>
          <w:sz w:val="16"/>
          <w:u w:val="single"/>
        </w:rPr>
        <w:t>Adjusted Net Loss and Adjusted EPS (Non-GAAP Financial Measures)</w:t>
      </w:r>
    </w:p>
    <w:p>
      <w:pPr>
        <w:pStyle w:val="TextBody"/>
        <w:bidi w:val="0"/>
        <w:spacing w:before="120" w:after="120"/>
        <w:jc w:val="both"/>
        <w:rPr>
          <w:rFonts w:ascii="Arial" w:hAnsi="Arial"/>
          <w:color w:val="000000"/>
          <w:sz w:val="16"/>
        </w:rPr>
      </w:pPr>
      <w:r>
        <w:rPr>
          <w:rFonts w:ascii="Arial" w:hAnsi="Arial"/>
          <w:color w:val="000000"/>
          <w:sz w:val="16"/>
        </w:rPr>
        <w:t>The tables below set forth reconciliations of (i) Loss before income taxes (“Pre-tax Loss”), (ii) Provision for income taxes (“Tax Impact”), (iii) Net Loss to Adjusted Net Loss, and (iv) Diluted EPS to Adjusted EPS.</w:t>
      </w:r>
    </w:p>
    <w:tbl>
      <w:tblPr>
        <w:tblW w:w="10205" w:type="dxa"/>
        <w:jc w:val="left"/>
        <w:tblInd w:w="0" w:type="dxa"/>
        <w:tblLayout w:type="fixed"/>
        <w:tblCellMar>
          <w:top w:w="28" w:type="dxa"/>
          <w:left w:w="28" w:type="dxa"/>
          <w:bottom w:w="28" w:type="dxa"/>
          <w:right w:w="28" w:type="dxa"/>
        </w:tblCellMar>
      </w:tblPr>
      <w:tblGrid>
        <w:gridCol w:w="1233"/>
        <w:gridCol w:w="146"/>
        <w:gridCol w:w="205"/>
        <w:gridCol w:w="597"/>
        <w:gridCol w:w="166"/>
        <w:gridCol w:w="146"/>
        <w:gridCol w:w="211"/>
        <w:gridCol w:w="470"/>
        <w:gridCol w:w="166"/>
        <w:gridCol w:w="146"/>
        <w:gridCol w:w="197"/>
        <w:gridCol w:w="574"/>
        <w:gridCol w:w="166"/>
        <w:gridCol w:w="146"/>
        <w:gridCol w:w="202"/>
        <w:gridCol w:w="620"/>
        <w:gridCol w:w="166"/>
        <w:gridCol w:w="146"/>
        <w:gridCol w:w="201"/>
        <w:gridCol w:w="680"/>
        <w:gridCol w:w="166"/>
        <w:gridCol w:w="146"/>
        <w:gridCol w:w="201"/>
        <w:gridCol w:w="587"/>
        <w:gridCol w:w="166"/>
        <w:gridCol w:w="146"/>
        <w:gridCol w:w="196"/>
        <w:gridCol w:w="661"/>
        <w:gridCol w:w="166"/>
        <w:gridCol w:w="146"/>
        <w:gridCol w:w="202"/>
        <w:gridCol w:w="620"/>
        <w:gridCol w:w="218"/>
      </w:tblGrid>
      <w:tr>
        <w:trPr/>
        <w:tc>
          <w:tcPr>
            <w:tcW w:w="12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12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012"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 December 29, 2024</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2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33"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9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8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(0.62</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7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8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 of warehouse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(0.24</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33"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results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4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(8,932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8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(15,688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(0.86</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23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257" w:type="dxa"/>
            <w:gridSpan w:val="12"/>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18,288</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2026, UNIFI recorded employee separation costs of $1,093 in connection with the Fiscal 2026 Profit Improvement Plan and a $308 gain from disposals of assets from the consolidation of Americas yarn manufacturing operations. The associated tax impact was estimated to be $11 related to employee separation costs in the Asia Segment.</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 xml:space="preserve">In the second quarter of fiscal 2025, UNIFI recorded a gain of $4,296 related to the sale of a warehouse located in Yadkinville, North Carolina. The associated tax impact was estimated to be $0 due to a valuation allowance against net operating losses and capital losses in the U.S. </w:t>
      </w:r>
    </w:p>
    <w:p>
      <w:pPr>
        <w:pStyle w:val="TextBody"/>
        <w:bidi w:val="0"/>
        <w:spacing w:before="360" w:after="283"/>
        <w:jc w:val="both"/>
        <w:rPr>
          <w:rFonts w:ascii="Arial" w:hAnsi="Arial"/>
          <w:b/>
          <w:i/>
          <w:color w:val="000000"/>
          <w:sz w:val="16"/>
        </w:rPr>
      </w:pPr>
      <w:r>
        <w:rPr>
          <w:rFonts w:ascii="Arial" w:hAnsi="Arial"/>
          <w:b/>
          <w:i/>
          <w:color w:val="000000"/>
          <w:sz w:val="16"/>
        </w:rPr>
        <w:t>Net Sales</w:t>
      </w:r>
    </w:p>
    <w:p>
      <w:pPr>
        <w:pStyle w:val="TextBody"/>
        <w:bidi w:val="0"/>
        <w:spacing w:before="120" w:after="283"/>
        <w:jc w:val="both"/>
        <w:rPr>
          <w:rFonts w:ascii="Arial" w:hAnsi="Arial"/>
          <w:color w:val="000000"/>
          <w:sz w:val="16"/>
        </w:rPr>
      </w:pPr>
      <w:r>
        <w:rPr>
          <w:rFonts w:ascii="Arial" w:hAnsi="Arial"/>
          <w:color w:val="000000"/>
          <w:sz w:val="16"/>
        </w:rPr>
        <w:t>Consolidated net sales for the current period decreased by $17,512, or 12.6%, and consolidated sales volumes decreased 9.8% as customer inventories being reduced led to lower demand for UNIFI, compared to the prior period. Net sales in the current period were lower primarily due to (i) lower sales volumes in the Asia Segment, (ii) lower-priced sales mix in the Americas Segment, partially offset by improved sales volumes, and (iii) lower sales volumes and prices in the Brazil Segment. Overall sales remain depressed, particularly in the Americas and Asia Segments as a result of continued volatility from uncertainty over global trade policies and competition from lower-priced products.</w:t>
      </w:r>
    </w:p>
    <w:p>
      <w:pPr>
        <w:pStyle w:val="TextBody"/>
        <w:bidi w:val="0"/>
        <w:spacing w:before="240" w:after="283"/>
        <w:jc w:val="both"/>
        <w:rPr>
          <w:rFonts w:ascii="Arial" w:hAnsi="Arial"/>
          <w:color w:val="000000"/>
          <w:sz w:val="16"/>
        </w:rPr>
      </w:pPr>
      <w:r>
        <w:rPr>
          <w:rFonts w:ascii="Arial" w:hAnsi="Arial"/>
          <w:color w:val="000000"/>
          <w:sz w:val="16"/>
        </w:rPr>
        <w:t>Consolidated weighted average sales prices decreased 2.8%. The decrease in sales prices was primarily attributable to sales mix and lower average selling prices in the Americas and Brazil Segments.</w:t>
      </w:r>
    </w:p>
    <w:p>
      <w:pPr>
        <w:pStyle w:val="TextBody"/>
        <w:bidi w:val="0"/>
        <w:spacing w:before="240" w:after="283"/>
        <w:jc w:val="both"/>
        <w:rPr>
          <w:rFonts w:ascii="Times New Roman" w:hAnsi="Times New Roman"/>
          <w:sz w:val="20"/>
        </w:rPr>
      </w:pPr>
      <w:r>
        <w:rPr>
          <w:rFonts w:ascii="Arial" w:hAnsi="Arial"/>
          <w:color w:val="000000"/>
          <w:sz w:val="16"/>
        </w:rPr>
        <w:t>REPREVE</w:t>
      </w:r>
      <w:r>
        <w:rPr>
          <w:rFonts w:ascii="Arial" w:hAnsi="Arial"/>
          <w:color w:val="000000"/>
          <w:sz w:val="11"/>
        </w:rPr>
        <w:t>®</w:t>
      </w:r>
      <w:r>
        <w:rPr>
          <w:rFonts w:ascii="Times New Roman" w:hAnsi="Times New Roman"/>
          <w:color w:val="000000"/>
          <w:sz w:val="20"/>
        </w:rPr>
        <w:t xml:space="preserve"> </w:t>
      </w:r>
      <w:r>
        <w:rPr>
          <w:rFonts w:ascii="Arial" w:hAnsi="Arial"/>
          <w:color w:val="000000"/>
          <w:sz w:val="16"/>
        </w:rPr>
        <w:t>Fiber products for the current period comprised 28%, or $34,264, of consolidated net sales, compared to 31%, or $43,272, for the prior period.</w:t>
      </w:r>
    </w:p>
    <w:p>
      <w:pPr>
        <w:pStyle w:val="TextBody"/>
        <w:bidi w:val="0"/>
        <w:spacing w:before="360" w:after="283"/>
        <w:jc w:val="both"/>
        <w:rPr>
          <w:rFonts w:ascii="Arial" w:hAnsi="Arial"/>
          <w:b/>
          <w:i/>
          <w:color w:val="000000"/>
          <w:sz w:val="16"/>
        </w:rPr>
      </w:pPr>
      <w:r>
        <w:rPr>
          <w:rFonts w:ascii="Arial" w:hAnsi="Arial"/>
          <w:b/>
          <w:i/>
          <w:color w:val="000000"/>
          <w:sz w:val="16"/>
        </w:rPr>
        <w:t>Gross Profit</w:t>
      </w:r>
    </w:p>
    <w:p>
      <w:pPr>
        <w:pStyle w:val="TextBody"/>
        <w:bidi w:val="0"/>
        <w:spacing w:before="120" w:after="283"/>
        <w:jc w:val="both"/>
        <w:rPr>
          <w:rFonts w:ascii="Arial" w:hAnsi="Arial"/>
          <w:color w:val="000000"/>
          <w:sz w:val="16"/>
        </w:rPr>
      </w:pPr>
      <w:r>
        <w:rPr>
          <w:rFonts w:ascii="Arial" w:hAnsi="Arial"/>
          <w:color w:val="000000"/>
          <w:sz w:val="16"/>
        </w:rPr>
        <w:t>Gross profit for the current period increased to $3,611 from $534 in the prior period. Gross profit increased primarily due to (i) variable cost-saving initiatives and (ii) improved utilization in certain manufacturing areas, partially offset by (a) lower sales volumes and (b) production volatility and limited demand visibility due to the tariff uncertainty in the Americas Segment. Gross profit continues to be unfavorably impacted by demand volatility in the Americas Segment and import pricing pressures in the Brazil Segment.</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6"/>
        </w:rPr>
      </w:pPr>
      <w:r>
        <w:rPr>
          <w:rFonts w:ascii="Arial" w:hAnsi="Arial"/>
          <w:color w:val="000000"/>
          <w:sz w:val="16"/>
        </w:rPr>
        <w:t>For the Americas Segment, gross profit increased primarily due to variable cost-saving initiatives, partially offset by (a) demand and production volatility stemming from tariff uncertainty and inventory management efforts from customers and (b) a weaker sales mix.</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6"/>
        </w:rPr>
      </w:pPr>
      <w:r>
        <w:rPr>
          <w:rFonts w:ascii="Arial" w:hAnsi="Arial"/>
          <w:color w:val="000000"/>
          <w:sz w:val="16"/>
        </w:rPr>
        <w:t>For the Brazil Segment, gross profit decreased primarily due to (i) lower sales volumes and (ii) competitive pricing pressures.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6"/>
        </w:rPr>
      </w:pPr>
      <w:r>
        <w:rPr>
          <w:rFonts w:ascii="Arial" w:hAnsi="Arial"/>
          <w:color w:val="000000"/>
          <w:sz w:val="16"/>
        </w:rPr>
        <w:t>For the Asia Segment, gross profit decreased primarily due to lower sales volumes, partially offset by higher-priced sales mix.</w:t>
      </w:r>
    </w:p>
    <w:p>
      <w:pPr>
        <w:pStyle w:val="TextBody"/>
        <w:bidi w:val="0"/>
        <w:spacing w:before="360" w:after="283"/>
        <w:jc w:val="both"/>
        <w:rPr>
          <w:rFonts w:ascii="Arial" w:hAnsi="Arial"/>
          <w:b/>
          <w:i/>
          <w:color w:val="000000"/>
          <w:sz w:val="16"/>
        </w:rPr>
      </w:pPr>
      <w:r>
        <w:rPr>
          <w:rFonts w:ascii="Arial" w:hAnsi="Arial"/>
          <w:b/>
          <w:i/>
          <w:color w:val="000000"/>
          <w:sz w:val="16"/>
        </w:rPr>
        <w:t>SG&amp;A</w:t>
      </w:r>
    </w:p>
    <w:p>
      <w:pPr>
        <w:pStyle w:val="TextBody"/>
        <w:bidi w:val="0"/>
        <w:spacing w:before="120" w:after="283"/>
        <w:jc w:val="both"/>
        <w:rPr>
          <w:rFonts w:ascii="Arial" w:hAnsi="Arial"/>
          <w:color w:val="000000"/>
          <w:sz w:val="16"/>
        </w:rPr>
      </w:pPr>
      <w:r>
        <w:rPr>
          <w:rFonts w:ascii="Arial" w:hAnsi="Arial"/>
          <w:color w:val="000000"/>
          <w:sz w:val="16"/>
        </w:rPr>
        <w:t>SG&amp;A decreased from the prior period to the current period, primarily due to the actions taken as part of the Fiscal 2026 Profit Improvement Plan.</w:t>
      </w:r>
    </w:p>
    <w:p>
      <w:pPr>
        <w:pStyle w:val="TextBody"/>
        <w:bidi w:val="0"/>
        <w:spacing w:before="360" w:after="283"/>
        <w:jc w:val="both"/>
        <w:rPr>
          <w:rFonts w:ascii="Arial" w:hAnsi="Arial"/>
          <w:b/>
          <w:i/>
          <w:color w:val="000000"/>
          <w:sz w:val="16"/>
        </w:rPr>
      </w:pPr>
      <w:r>
        <w:rPr>
          <w:rFonts w:ascii="Arial" w:hAnsi="Arial"/>
          <w:b/>
          <w:i/>
          <w:color w:val="000000"/>
          <w:sz w:val="16"/>
        </w:rPr>
        <w:t>Provision (Benefit) for Bad Debts</w:t>
      </w:r>
    </w:p>
    <w:p>
      <w:pPr>
        <w:pStyle w:val="TextBody"/>
        <w:bidi w:val="0"/>
        <w:spacing w:before="120" w:after="283"/>
        <w:jc w:val="both"/>
        <w:rPr>
          <w:rFonts w:ascii="Arial" w:hAnsi="Arial"/>
          <w:color w:val="000000"/>
          <w:sz w:val="16"/>
        </w:rPr>
      </w:pPr>
      <w:r>
        <w:rPr>
          <w:rFonts w:ascii="Arial" w:hAnsi="Arial"/>
          <w:color w:val="000000"/>
          <w:sz w:val="16"/>
        </w:rPr>
        <w:t>The current period and prior period provision reflect no material activity.</w:t>
      </w:r>
    </w:p>
    <w:p>
      <w:pPr>
        <w:pStyle w:val="TextBody"/>
        <w:bidi w:val="0"/>
        <w:spacing w:before="360" w:after="283"/>
        <w:jc w:val="both"/>
        <w:rPr>
          <w:rFonts w:ascii="Arial" w:hAnsi="Arial"/>
          <w:b/>
          <w:i/>
          <w:color w:val="000000"/>
          <w:sz w:val="16"/>
        </w:rPr>
      </w:pPr>
      <w:r>
        <w:rPr>
          <w:rFonts w:ascii="Arial" w:hAnsi="Arial"/>
          <w:b/>
          <w:i/>
          <w:color w:val="000000"/>
          <w:sz w:val="16"/>
        </w:rPr>
        <w:t>Restructuring Costs, Net</w:t>
      </w:r>
    </w:p>
    <w:p>
      <w:pPr>
        <w:pStyle w:val="TextBody"/>
        <w:bidi w:val="0"/>
        <w:spacing w:before="240" w:after="120"/>
        <w:jc w:val="both"/>
        <w:rPr>
          <w:rFonts w:ascii="Arial" w:hAnsi="Arial"/>
          <w:color w:val="000000"/>
          <w:sz w:val="16"/>
        </w:rPr>
      </w:pPr>
      <w:r>
        <w:rPr>
          <w:rFonts w:ascii="Arial" w:hAnsi="Arial"/>
          <w:color w:val="000000"/>
          <w:sz w:val="16"/>
        </w:rPr>
        <w:t>During October 2025, UNIFI implemented additional cost-saving initiatives that include reducing variable manufacturing costs across labor, spend, and support functions, while also eliminating a meaningful percentage of salaried positions in the U.S. During the three-months ended December 28, 2025, UNIFI incurred employee separation costs of $1,093 related to the Fiscal 2026 Profit Improvement Plan. Additionally, UNIFI recognized a gain of $308 during the current period from disposals of assets in conjunction with the consolidation of Americas yarn manufacturing operations.</w:t>
      </w:r>
    </w:p>
    <w:p>
      <w:pPr>
        <w:pStyle w:val="TextBody"/>
        <w:bidi w:val="0"/>
        <w:spacing w:before="240" w:after="283"/>
        <w:jc w:val="both"/>
        <w:rPr>
          <w:rFonts w:ascii="Arial" w:hAnsi="Arial"/>
          <w:b/>
          <w:i/>
          <w:color w:val="000000"/>
          <w:sz w:val="16"/>
        </w:rPr>
      </w:pPr>
      <w:r>
        <w:rPr>
          <w:rFonts w:ascii="Arial" w:hAnsi="Arial"/>
          <w:b/>
          <w:i/>
          <w:color w:val="000000"/>
          <w:sz w:val="16"/>
        </w:rPr>
        <w:t>Gain on Sale of Assets</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w:t>
      </w:r>
    </w:p>
    <w:p>
      <w:pPr>
        <w:pStyle w:val="TextBody"/>
        <w:bidi w:val="0"/>
        <w:spacing w:before="240" w:after="283"/>
        <w:jc w:val="center"/>
        <w:rPr>
          <w:rFonts w:ascii="Arial" w:hAnsi="Arial"/>
          <w:color w:val="000000"/>
          <w:sz w:val="16"/>
        </w:rPr>
      </w:pPr>
      <w:r>
        <w:rPr>
          <w:rFonts w:ascii="Arial" w:hAnsi="Arial"/>
          <w:color w:val="000000"/>
          <w:sz w:val="16"/>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16"/>
        </w:rPr>
      </w:pPr>
      <w:r>
        <w:rPr>
          <w:rFonts w:ascii="Arial" w:hAnsi="Arial"/>
          <w:b/>
          <w:i/>
          <w:color w:val="000000"/>
          <w:sz w:val="16"/>
        </w:rPr>
        <w:t>Other Operating Expense (Income), Net</w:t>
      </w:r>
    </w:p>
    <w:p>
      <w:pPr>
        <w:pStyle w:val="TextBody"/>
        <w:bidi w:val="0"/>
        <w:spacing w:before="120" w:after="283"/>
        <w:jc w:val="both"/>
        <w:rPr>
          <w:rFonts w:ascii="Arial" w:hAnsi="Arial"/>
          <w:color w:val="000000"/>
          <w:sz w:val="16"/>
        </w:rPr>
      </w:pPr>
      <w:r>
        <w:rPr>
          <w:rFonts w:ascii="Arial" w:hAnsi="Arial"/>
          <w:color w:val="000000"/>
          <w:sz w:val="16"/>
        </w:rPr>
        <w:t>Other operating expense, net for the current period and the prior period included foreign currency transaction losses (gains) of $325 and $(221), respectively, with no other meaningful activity.</w:t>
      </w:r>
    </w:p>
    <w:p>
      <w:pPr>
        <w:pStyle w:val="TextBody"/>
        <w:bidi w:val="0"/>
        <w:spacing w:before="360" w:after="283"/>
        <w:jc w:val="both"/>
        <w:rPr>
          <w:rFonts w:ascii="Arial" w:hAnsi="Arial"/>
          <w:b/>
          <w:i/>
          <w:color w:val="000000"/>
          <w:sz w:val="16"/>
        </w:rPr>
      </w:pPr>
      <w:r>
        <w:rPr>
          <w:rFonts w:ascii="Arial" w:hAnsi="Arial"/>
          <w:b/>
          <w:i/>
          <w:color w:val="000000"/>
          <w:sz w:val="16"/>
        </w:rPr>
        <w:t>Interest Expense, Net</w:t>
      </w:r>
    </w:p>
    <w:p>
      <w:pPr>
        <w:pStyle w:val="TextBody"/>
        <w:bidi w:val="0"/>
        <w:spacing w:before="120" w:after="283"/>
        <w:jc w:val="both"/>
        <w:rPr>
          <w:rFonts w:ascii="Arial" w:hAnsi="Arial"/>
          <w:color w:val="000000"/>
          <w:sz w:val="16"/>
        </w:rPr>
      </w:pPr>
      <w:r>
        <w:rPr>
          <w:rFonts w:ascii="Arial" w:hAnsi="Arial"/>
          <w:color w:val="000000"/>
          <w:sz w:val="16"/>
        </w:rPr>
        <w:t>Interest expense, net decreased in connection with lower average debt principal and lower average interest rates.</w:t>
      </w:r>
    </w:p>
    <w:p>
      <w:pPr>
        <w:pStyle w:val="TextBody"/>
        <w:bidi w:val="0"/>
        <w:spacing w:before="360" w:after="283"/>
        <w:jc w:val="both"/>
        <w:rPr>
          <w:rFonts w:ascii="Arial" w:hAnsi="Arial"/>
          <w:b/>
          <w:i/>
          <w:color w:val="000000"/>
          <w:sz w:val="16"/>
        </w:rPr>
      </w:pPr>
      <w:r>
        <w:rPr>
          <w:rFonts w:ascii="Arial" w:hAnsi="Arial"/>
          <w:b/>
          <w:i/>
          <w:color w:val="000000"/>
          <w:sz w:val="16"/>
        </w:rPr>
        <w:t>Equity in Loss of Unconsolidated Affiliate</w:t>
      </w:r>
    </w:p>
    <w:p>
      <w:pPr>
        <w:pStyle w:val="TextBody"/>
        <w:bidi w:val="0"/>
        <w:spacing w:before="120" w:after="283"/>
        <w:jc w:val="both"/>
        <w:rPr>
          <w:rFonts w:ascii="Arial" w:hAnsi="Arial"/>
          <w:color w:val="000000"/>
          <w:sz w:val="16"/>
        </w:rPr>
      </w:pPr>
      <w:r>
        <w:rPr>
          <w:rFonts w:ascii="Arial" w:hAnsi="Arial"/>
          <w:color w:val="000000"/>
          <w:sz w:val="16"/>
        </w:rPr>
        <w:t>There was no material activity for the current period or the prior period.</w:t>
      </w:r>
    </w:p>
    <w:p>
      <w:pPr>
        <w:pStyle w:val="TextBody"/>
        <w:bidi w:val="0"/>
        <w:spacing w:before="360" w:after="283"/>
        <w:jc w:val="both"/>
        <w:rPr>
          <w:rFonts w:ascii="Arial" w:hAnsi="Arial"/>
          <w:b/>
          <w:i/>
          <w:color w:val="000000"/>
          <w:sz w:val="16"/>
        </w:rPr>
      </w:pPr>
      <w:r>
        <w:rPr>
          <w:rFonts w:ascii="Arial" w:hAnsi="Arial"/>
          <w:b/>
          <w:i/>
          <w:color w:val="000000"/>
          <w:sz w:val="16"/>
        </w:rPr>
        <w:t>Income Taxes</w:t>
      </w:r>
    </w:p>
    <w:p>
      <w:pPr>
        <w:pStyle w:val="TextBody"/>
        <w:bidi w:val="0"/>
        <w:spacing w:before="120" w:after="120"/>
        <w:jc w:val="both"/>
        <w:rPr>
          <w:rFonts w:ascii="Arial" w:hAnsi="Arial"/>
          <w:color w:val="000000"/>
          <w:sz w:val="16"/>
        </w:rPr>
      </w:pPr>
      <w:r>
        <w:rPr>
          <w:rFonts w:ascii="Arial" w:hAnsi="Arial"/>
          <w:color w:val="000000"/>
          <w:sz w:val="16"/>
        </w:rPr>
        <w:t>Provision for income taxes and the effective tax rate were as follows:</w:t>
      </w:r>
    </w:p>
    <w:tbl>
      <w:tblPr>
        <w:tblW w:w="6305" w:type="dxa"/>
        <w:jc w:val="left"/>
        <w:tblInd w:w="0" w:type="dxa"/>
        <w:tblLayout w:type="fixed"/>
        <w:tblCellMar>
          <w:top w:w="28" w:type="dxa"/>
          <w:left w:w="28" w:type="dxa"/>
          <w:bottom w:w="28" w:type="dxa"/>
          <w:right w:w="28" w:type="dxa"/>
        </w:tblCellMar>
      </w:tblPr>
      <w:tblGrid>
        <w:gridCol w:w="2056"/>
        <w:gridCol w:w="146"/>
        <w:gridCol w:w="454"/>
        <w:gridCol w:w="1121"/>
        <w:gridCol w:w="405"/>
        <w:gridCol w:w="187"/>
        <w:gridCol w:w="436"/>
        <w:gridCol w:w="1139"/>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12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13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40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2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952</w:t>
            </w:r>
          </w:p>
        </w:tc>
        <w:tc>
          <w:tcPr>
            <w:tcW w:w="40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39"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1,345</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(10.9</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9"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effective tax rate is subject to variation due to a number of factors, including variability in pre-tax book income; the mix of income by jurisdiction; changes in deferred tax valuation allowances; and changes in statutes, audit settlement, regulations, and case law. Additionally, the impacts of discrete and other rate impacting items are more pronounced when loss before income taxes is lower.</w:t>
      </w:r>
    </w:p>
    <w:p>
      <w:pPr>
        <w:pStyle w:val="TextBody"/>
        <w:bidi w:val="0"/>
        <w:jc w:val="both"/>
        <w:rPr>
          <w:rFonts w:ascii="Times New Roman" w:hAnsi="Times New Roman"/>
          <w:sz w:val="20"/>
        </w:rPr>
      </w:pPr>
      <w:r>
        <w:rPr>
          <w:rFonts w:ascii="Arial" w:hAnsi="Arial"/>
          <w:color w:val="000000"/>
          <w:sz w:val="16"/>
        </w:rPr>
        <w:t>The increase in the effective tax rate from the prior period to the current period is primarily attributable to lower foreign earnings in the current period.</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16"/>
        </w:rPr>
      </w:pPr>
      <w:r>
        <w:rPr>
          <w:rFonts w:ascii="Arial" w:hAnsi="Arial"/>
          <w:b/>
          <w:i/>
          <w:color w:val="000000"/>
          <w:sz w:val="16"/>
        </w:rPr>
        <w:t>Net Loss</w:t>
      </w:r>
    </w:p>
    <w:p>
      <w:pPr>
        <w:pStyle w:val="TextBody"/>
        <w:bidi w:val="0"/>
        <w:spacing w:before="120" w:after="283"/>
        <w:jc w:val="both"/>
        <w:rPr>
          <w:rFonts w:ascii="Arial" w:hAnsi="Arial"/>
          <w:color w:val="000000"/>
          <w:sz w:val="16"/>
        </w:rPr>
      </w:pPr>
      <w:r>
        <w:rPr>
          <w:rFonts w:ascii="Arial" w:hAnsi="Arial"/>
          <w:color w:val="000000"/>
          <w:sz w:val="16"/>
        </w:rPr>
        <w:t>The improvement in net loss was primarily attributable to (i) increased gross profit, (ii) lower SG&amp;A expenses, (iii) lower interest expense, net and (iv) lower income tax expense, partially offset by (a) restructuring costs, net incurred in the current period and (b) a gain on sale of assets in the prior period.</w:t>
      </w:r>
    </w:p>
    <w:p>
      <w:pPr>
        <w:pStyle w:val="TextBody"/>
        <w:bidi w:val="0"/>
        <w:spacing w:before="120" w:after="283"/>
        <w:jc w:val="both"/>
        <w:rPr/>
      </w:pPr>
      <w:r>
        <w:rPr/>
        <w:t> </w:t>
      </w:r>
    </w:p>
    <w:p>
      <w:pPr>
        <w:pStyle w:val="TextBody"/>
        <w:bidi w:val="0"/>
        <w:spacing w:before="120" w:after="283"/>
        <w:jc w:val="both"/>
        <w:rPr>
          <w:rFonts w:ascii="Arial" w:hAnsi="Arial"/>
          <w:b/>
          <w:color w:val="000000"/>
          <w:sz w:val="16"/>
        </w:rPr>
      </w:pPr>
      <w:r>
        <w:rPr>
          <w:rFonts w:ascii="Arial" w:hAnsi="Arial"/>
          <w:b/>
          <w:color w:val="000000"/>
          <w:sz w:val="16"/>
        </w:rPr>
        <w:t>Adjusted EBITDA and Adjusted EPS (Non-GAAP Financial Measures)</w:t>
      </w:r>
    </w:p>
    <w:p>
      <w:pPr>
        <w:pStyle w:val="TextBody"/>
        <w:bidi w:val="0"/>
        <w:spacing w:before="120" w:after="283"/>
        <w:jc w:val="both"/>
        <w:rPr>
          <w:rFonts w:ascii="Arial" w:hAnsi="Arial"/>
          <w:color w:val="000000"/>
          <w:sz w:val="16"/>
        </w:rPr>
      </w:pPr>
      <w:r>
        <w:rPr>
          <w:rFonts w:ascii="Arial" w:hAnsi="Arial"/>
          <w:color w:val="000000"/>
          <w:sz w:val="16"/>
        </w:rPr>
        <w:t>Adjusted EBITDA and Adjusted EPS increased primarily due to higher gross profit and lower SG&amp;A expenses.</w:t>
      </w:r>
    </w:p>
    <w:p>
      <w:pPr>
        <w:pStyle w:val="TextBody"/>
        <w:bidi w:val="0"/>
        <w:spacing w:before="360" w:after="283"/>
        <w:jc w:val="both"/>
        <w:rPr>
          <w:rFonts w:ascii="Arial" w:hAnsi="Arial"/>
          <w:b/>
          <w:color w:val="000000"/>
          <w:sz w:val="16"/>
        </w:rPr>
      </w:pPr>
      <w:r>
        <w:rPr>
          <w:rFonts w:ascii="Arial" w:hAnsi="Arial"/>
          <w:b/>
          <w:color w:val="000000"/>
          <w:sz w:val="16"/>
        </w:rPr>
        <w:t>Segment Overview</w:t>
      </w:r>
    </w:p>
    <w:p>
      <w:pPr>
        <w:pStyle w:val="TextBody"/>
        <w:bidi w:val="0"/>
        <w:spacing w:before="120" w:after="283"/>
        <w:jc w:val="both"/>
        <w:rPr>
          <w:rFonts w:ascii="Arial" w:hAnsi="Arial"/>
          <w:color w:val="000000"/>
          <w:sz w:val="16"/>
        </w:rPr>
      </w:pPr>
      <w:r>
        <w:rPr>
          <w:rFonts w:ascii="Arial" w:hAnsi="Arial"/>
          <w:color w:val="000000"/>
          <w:sz w:val="16"/>
        </w:rPr>
        <w:t>Following is a discussion and analysis of the revenue and profitability performance of UNIFI’s reportable segments for the current period.</w:t>
      </w:r>
    </w:p>
    <w:p>
      <w:pPr>
        <w:pStyle w:val="TextBody"/>
        <w:bidi w:val="0"/>
        <w:spacing w:before="360" w:after="283"/>
        <w:jc w:val="both"/>
        <w:rPr>
          <w:rFonts w:ascii="Arial" w:hAnsi="Arial"/>
          <w:b/>
          <w:i/>
          <w:color w:val="000000"/>
          <w:sz w:val="16"/>
        </w:rPr>
      </w:pPr>
      <w:r>
        <w:rPr>
          <w:rFonts w:ascii="Arial" w:hAnsi="Arial"/>
          <w:b/>
          <w:i/>
          <w:color w:val="000000"/>
          <w:sz w:val="16"/>
        </w:rPr>
        <w:t>Americas Segment</w:t>
      </w:r>
    </w:p>
    <w:p>
      <w:pPr>
        <w:pStyle w:val="TextBody"/>
        <w:bidi w:val="0"/>
        <w:spacing w:before="120" w:after="120"/>
        <w:jc w:val="both"/>
        <w:rPr>
          <w:rFonts w:ascii="Arial" w:hAnsi="Arial"/>
          <w:color w:val="000000"/>
          <w:sz w:val="16"/>
        </w:rPr>
      </w:pPr>
      <w:r>
        <w:rPr>
          <w:rFonts w:ascii="Arial" w:hAnsi="Arial"/>
          <w:color w:val="000000"/>
          <w:sz w:val="16"/>
        </w:rPr>
        <w:t>The components of Segment Profit (Loss), each component as a percentage of net sales, and the percentage increase or decrease over the prior period amounts for the Americas Segment, were as follows:</w:t>
      </w:r>
    </w:p>
    <w:tbl>
      <w:tblPr>
        <w:tblW w:w="8961" w:type="dxa"/>
        <w:jc w:val="left"/>
        <w:tblInd w:w="0" w:type="dxa"/>
        <w:tblLayout w:type="fixed"/>
        <w:tblCellMar>
          <w:top w:w="28" w:type="dxa"/>
          <w:left w:w="28" w:type="dxa"/>
          <w:bottom w:w="28" w:type="dxa"/>
          <w:right w:w="28" w:type="dxa"/>
        </w:tblCellMar>
      </w:tblPr>
      <w:tblGrid>
        <w:gridCol w:w="3121"/>
        <w:gridCol w:w="146"/>
        <w:gridCol w:w="196"/>
        <w:gridCol w:w="601"/>
        <w:gridCol w:w="256"/>
        <w:gridCol w:w="146"/>
        <w:gridCol w:w="186"/>
        <w:gridCol w:w="654"/>
        <w:gridCol w:w="166"/>
        <w:gridCol w:w="146"/>
        <w:gridCol w:w="196"/>
        <w:gridCol w:w="601"/>
        <w:gridCol w:w="316"/>
        <w:gridCol w:w="146"/>
        <w:gridCol w:w="186"/>
        <w:gridCol w:w="654"/>
        <w:gridCol w:w="166"/>
        <w:gridCol w:w="146"/>
        <w:gridCol w:w="167"/>
        <w:gridCol w:w="554"/>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5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77,233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83,095</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77,632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89,635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(399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(6,540</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(93.9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4,945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5,334</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(1,206</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net sales as a percentage of</w:t>
              <w:br/>
              <w:t>   consolidated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(Loss) as a percentage of</w:t>
              <w:br/>
              <w:t>   consolidated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(18.6</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Arial" w:hAnsi="Arial"/>
          <w:color w:val="000000"/>
          <w:sz w:val="16"/>
        </w:rPr>
      </w:pPr>
      <w:r>
        <w:rPr>
          <w:rFonts w:ascii="Arial" w:hAnsi="Arial"/>
          <w:color w:val="000000"/>
          <w:sz w:val="16"/>
        </w:rPr>
        <w:t>nm = not meaningful</w:t>
      </w:r>
    </w:p>
    <w:p>
      <w:pPr>
        <w:pStyle w:val="TextBody"/>
        <w:bidi w:val="0"/>
        <w:spacing w:before="240" w:after="283"/>
        <w:jc w:val="center"/>
        <w:rPr>
          <w:rFonts w:ascii="Arial" w:hAnsi="Arial"/>
          <w:color w:val="000000"/>
          <w:sz w:val="16"/>
        </w:rPr>
      </w:pPr>
      <w:r>
        <w:rPr>
          <w:rFonts w:ascii="Arial" w:hAnsi="Arial"/>
          <w:color w:val="000000"/>
          <w:sz w:val="16"/>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Arial" w:hAnsi="Arial"/>
          <w:color w:val="000000"/>
          <w:sz w:val="16"/>
        </w:rPr>
      </w:pPr>
      <w:r>
        <w:rPr>
          <w:rFonts w:ascii="Arial" w:hAnsi="Arial"/>
          <w:color w:val="000000"/>
          <w:sz w:val="16"/>
        </w:rPr>
        <w:t>The change in net sales for the Americas Segment was as follows:</w:t>
      </w:r>
    </w:p>
    <w:tbl>
      <w:tblPr>
        <w:tblW w:w="4605" w:type="dxa"/>
        <w:jc w:val="left"/>
        <w:tblInd w:w="0" w:type="dxa"/>
        <w:tblLayout w:type="fixed"/>
        <w:tblCellMar>
          <w:top w:w="28" w:type="dxa"/>
          <w:left w:w="28" w:type="dxa"/>
          <w:bottom w:w="28" w:type="dxa"/>
          <w:right w:w="28" w:type="dxa"/>
        </w:tblCellMar>
      </w:tblPr>
      <w:tblGrid>
        <w:gridCol w:w="3451"/>
        <w:gridCol w:w="146"/>
        <w:gridCol w:w="196"/>
        <w:gridCol w:w="60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83,095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average selling price and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(9,543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3,681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current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77,233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net sales for the Americas Segment from the prior period to the current period was primarily attributable to lower fiber sales volumes and higher Flake sales volumes, driving a decrease in average selling price.</w:t>
      </w:r>
    </w:p>
    <w:p>
      <w:pPr>
        <w:pStyle w:val="TextBody"/>
        <w:bidi w:val="0"/>
        <w:spacing w:before="240" w:after="120"/>
        <w:jc w:val="both"/>
        <w:rPr>
          <w:rFonts w:ascii="Arial" w:hAnsi="Arial"/>
          <w:color w:val="000000"/>
          <w:sz w:val="16"/>
        </w:rPr>
      </w:pPr>
      <w:r>
        <w:rPr>
          <w:rFonts w:ascii="Arial" w:hAnsi="Arial"/>
          <w:color w:val="000000"/>
          <w:sz w:val="16"/>
        </w:rPr>
        <w:t>The change in Segment (Loss) Profit for the Americas Segment was as follows:</w:t>
      </w:r>
    </w:p>
    <w:tbl>
      <w:tblPr>
        <w:tblW w:w="3885" w:type="dxa"/>
        <w:jc w:val="left"/>
        <w:tblInd w:w="0" w:type="dxa"/>
        <w:tblLayout w:type="fixed"/>
        <w:tblCellMar>
          <w:top w:w="28" w:type="dxa"/>
          <w:left w:w="28" w:type="dxa"/>
          <w:bottom w:w="28" w:type="dxa"/>
          <w:right w:w="28" w:type="dxa"/>
        </w:tblCellMar>
      </w:tblPr>
      <w:tblGrid>
        <w:gridCol w:w="2761"/>
        <w:gridCol w:w="146"/>
        <w:gridCol w:w="196"/>
        <w:gridCol w:w="571"/>
        <w:gridCol w:w="211"/>
      </w:tblGrid>
      <w:tr>
        <w:trPr/>
        <w:tc>
          <w:tcPr>
            <w:tcW w:w="27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Loss for the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7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in underlying unit margins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5,752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6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4,546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increase in Segment Profit for the Americas Segment from the prior period to the current period was primarily attributable to cost-saving initiatives and productivity improvements, including reductions in manufacturing costs from the consolidation of Americas yarn manufacturing operations and the Fiscal 2026 Profit Improvement Plan.</w:t>
      </w:r>
    </w:p>
    <w:p>
      <w:pPr>
        <w:pStyle w:val="TextBody"/>
        <w:bidi w:val="0"/>
        <w:spacing w:before="360" w:after="283"/>
        <w:jc w:val="both"/>
        <w:rPr>
          <w:rFonts w:ascii="Arial" w:hAnsi="Arial"/>
          <w:b/>
          <w:i/>
          <w:color w:val="000000"/>
          <w:sz w:val="16"/>
        </w:rPr>
      </w:pPr>
      <w:r>
        <w:rPr>
          <w:rFonts w:ascii="Arial" w:hAnsi="Arial"/>
          <w:b/>
          <w:i/>
          <w:color w:val="000000"/>
          <w:sz w:val="16"/>
        </w:rPr>
        <w:t>Brazil Segment</w:t>
      </w:r>
    </w:p>
    <w:p>
      <w:pPr>
        <w:pStyle w:val="TextBody"/>
        <w:bidi w:val="0"/>
        <w:spacing w:before="120" w:after="120"/>
        <w:jc w:val="both"/>
        <w:rPr>
          <w:rFonts w:ascii="Arial" w:hAnsi="Arial"/>
          <w:color w:val="000000"/>
          <w:sz w:val="16"/>
        </w:rPr>
      </w:pPr>
      <w:r>
        <w:rPr>
          <w:rFonts w:ascii="Arial" w:hAnsi="Arial"/>
          <w:color w:val="000000"/>
          <w:sz w:val="16"/>
        </w:rPr>
        <w:t>The components of Segment Profit, each component as a percentage of net sales, and the percentage increase or decrease over the prior period amounts for the Brazil Segment, were as follows:</w:t>
      </w:r>
    </w:p>
    <w:tbl>
      <w:tblPr>
        <w:tblW w:w="8621" w:type="dxa"/>
        <w:jc w:val="left"/>
        <w:tblInd w:w="0" w:type="dxa"/>
        <w:tblLayout w:type="fixed"/>
        <w:tblCellMar>
          <w:top w:w="28" w:type="dxa"/>
          <w:left w:w="28" w:type="dxa"/>
          <w:bottom w:w="28" w:type="dxa"/>
          <w:right w:w="28" w:type="dxa"/>
        </w:tblCellMar>
      </w:tblPr>
      <w:tblGrid>
        <w:gridCol w:w="2881"/>
        <w:gridCol w:w="146"/>
        <w:gridCol w:w="196"/>
        <w:gridCol w:w="601"/>
        <w:gridCol w:w="256"/>
        <w:gridCol w:w="146"/>
        <w:gridCol w:w="186"/>
        <w:gridCol w:w="654"/>
        <w:gridCol w:w="146"/>
        <w:gridCol w:w="146"/>
        <w:gridCol w:w="196"/>
        <w:gridCol w:w="601"/>
        <w:gridCol w:w="256"/>
        <w:gridCol w:w="146"/>
        <w:gridCol w:w="186"/>
        <w:gridCol w:w="654"/>
        <w:gridCol w:w="146"/>
        <w:gridCol w:w="146"/>
        <w:gridCol w:w="167"/>
        <w:gridCol w:w="554"/>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23,328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22,272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23,696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3,786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700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net sales as a percentage of</w:t>
              <w:br/>
              <w:t>   consolidated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as a percentage of</w:t>
              <w:br/>
              <w:t>   consolidated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Arial" w:hAnsi="Arial"/>
          <w:color w:val="000000"/>
          <w:sz w:val="16"/>
        </w:rPr>
      </w:pPr>
      <w:r>
        <w:rPr>
          <w:rFonts w:ascii="Arial" w:hAnsi="Arial"/>
          <w:color w:val="000000"/>
          <w:sz w:val="16"/>
        </w:rPr>
        <w:t>The change in net sales for the Brazil Segment was as follows:</w:t>
      </w:r>
    </w:p>
    <w:tbl>
      <w:tblPr>
        <w:tblW w:w="5505" w:type="dxa"/>
        <w:jc w:val="left"/>
        <w:tblInd w:w="0" w:type="dxa"/>
        <w:tblLayout w:type="fixed"/>
        <w:tblCellMar>
          <w:top w:w="28" w:type="dxa"/>
          <w:left w:w="28" w:type="dxa"/>
          <w:bottom w:w="28" w:type="dxa"/>
          <w:right w:w="28" w:type="dxa"/>
        </w:tblCellMar>
      </w:tblPr>
      <w:tblGrid>
        <w:gridCol w:w="4351"/>
        <w:gridCol w:w="146"/>
        <w:gridCol w:w="196"/>
        <w:gridCol w:w="601"/>
        <w:gridCol w:w="211"/>
      </w:tblGrid>
      <w:tr>
        <w:trPr/>
        <w:tc>
          <w:tcPr>
            <w:tcW w:w="43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average selling price and change in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(3,578</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(2,685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3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3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net sales for the Brazil Segment from the prior period to the current period was primarily attributable to (i) lower selling prices associated with competitive pricing pressures and (ii) lower sales volumes due to market conditions, partially offset by favorable foreign currency translation effects from the strengthening of the BRL versus the USD.</w:t>
      </w:r>
    </w:p>
    <w:p>
      <w:pPr>
        <w:pStyle w:val="TextBody"/>
        <w:bidi w:val="0"/>
        <w:spacing w:before="240" w:after="120"/>
        <w:jc w:val="both"/>
        <w:rPr>
          <w:rFonts w:ascii="Arial" w:hAnsi="Arial"/>
          <w:color w:val="000000"/>
          <w:sz w:val="16"/>
        </w:rPr>
      </w:pPr>
      <w:r>
        <w:rPr>
          <w:rFonts w:ascii="Arial" w:hAnsi="Arial"/>
          <w:color w:val="000000"/>
          <w:sz w:val="16"/>
        </w:rPr>
        <w:t>The change in Segment Profit for the Brazil Segment was as follows:</w:t>
      </w:r>
    </w:p>
    <w:tbl>
      <w:tblPr>
        <w:tblW w:w="4560" w:type="dxa"/>
        <w:jc w:val="left"/>
        <w:tblInd w:w="0" w:type="dxa"/>
        <w:tblLayout w:type="fixed"/>
        <w:tblCellMar>
          <w:top w:w="28" w:type="dxa"/>
          <w:left w:w="28" w:type="dxa"/>
          <w:bottom w:w="28" w:type="dxa"/>
          <w:right w:w="28" w:type="dxa"/>
        </w:tblCellMar>
      </w:tblPr>
      <w:tblGrid>
        <w:gridCol w:w="3436"/>
        <w:gridCol w:w="146"/>
        <w:gridCol w:w="196"/>
        <w:gridCol w:w="571"/>
        <w:gridCol w:w="211"/>
      </w:tblGrid>
      <w:tr>
        <w:trPr/>
        <w:tc>
          <w:tcPr>
            <w:tcW w:w="3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4,388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underlying unit margins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318</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1,756</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Segment Profit for the Brazil Segment from the prior period to the current period was primarily attributable to (i) lower conversion margins primarily due to sales mix and pricing pressures and (ii) a decrease in sales volumes discussed above, partially offset by favorable foreign currency translation effects from the strengthening of the BRL versus the USD. We continue to prioritize innovation and differentiation to improve our portfolio and competitive position in Brazil.</w:t>
      </w:r>
    </w:p>
    <w:p>
      <w:pPr>
        <w:pStyle w:val="TextBody"/>
        <w:bidi w:val="0"/>
        <w:spacing w:before="240" w:after="283"/>
        <w:jc w:val="center"/>
        <w:rPr>
          <w:rFonts w:ascii="Arial" w:hAnsi="Arial"/>
          <w:color w:val="000000"/>
          <w:sz w:val="16"/>
        </w:rPr>
      </w:pPr>
      <w:r>
        <w:rPr>
          <w:rFonts w:ascii="Arial" w:hAnsi="Arial"/>
          <w:color w:val="000000"/>
          <w:sz w:val="16"/>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16"/>
        </w:rPr>
      </w:pPr>
      <w:r>
        <w:rPr>
          <w:rFonts w:ascii="Arial" w:hAnsi="Arial"/>
          <w:b/>
          <w:i/>
          <w:color w:val="000000"/>
          <w:sz w:val="16"/>
        </w:rPr>
        <w:t>Asia Segment</w:t>
      </w:r>
    </w:p>
    <w:p>
      <w:pPr>
        <w:pStyle w:val="TextBody"/>
        <w:bidi w:val="0"/>
        <w:spacing w:before="120" w:after="120"/>
        <w:jc w:val="both"/>
        <w:rPr>
          <w:rFonts w:ascii="Arial" w:hAnsi="Arial"/>
          <w:color w:val="000000"/>
          <w:sz w:val="16"/>
        </w:rPr>
      </w:pPr>
      <w:r>
        <w:rPr>
          <w:rFonts w:ascii="Arial" w:hAnsi="Arial"/>
          <w:color w:val="000000"/>
          <w:sz w:val="16"/>
        </w:rPr>
        <w:t>The components of Segment Profit, each component as a percentage of net sales, and the percentage increase or decrease over the prior period amounts for the Asia Segment, were as follows:</w:t>
      </w:r>
    </w:p>
    <w:tbl>
      <w:tblPr>
        <w:tblW w:w="8621" w:type="dxa"/>
        <w:jc w:val="left"/>
        <w:tblInd w:w="0" w:type="dxa"/>
        <w:tblLayout w:type="fixed"/>
        <w:tblCellMar>
          <w:top w:w="28" w:type="dxa"/>
          <w:left w:w="28" w:type="dxa"/>
          <w:bottom w:w="28" w:type="dxa"/>
          <w:right w:w="28" w:type="dxa"/>
        </w:tblCellMar>
      </w:tblPr>
      <w:tblGrid>
        <w:gridCol w:w="2881"/>
        <w:gridCol w:w="146"/>
        <w:gridCol w:w="196"/>
        <w:gridCol w:w="601"/>
        <w:gridCol w:w="256"/>
        <w:gridCol w:w="146"/>
        <w:gridCol w:w="186"/>
        <w:gridCol w:w="654"/>
        <w:gridCol w:w="146"/>
        <w:gridCol w:w="146"/>
        <w:gridCol w:w="196"/>
        <w:gridCol w:w="601"/>
        <w:gridCol w:w="256"/>
        <w:gridCol w:w="146"/>
        <w:gridCol w:w="186"/>
        <w:gridCol w:w="654"/>
        <w:gridCol w:w="146"/>
        <w:gridCol w:w="146"/>
        <w:gridCol w:w="167"/>
        <w:gridCol w:w="554"/>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Three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20,807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17,853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25,015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3,288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2,967</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3,302</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net sales as a percentage of</w:t>
              <w:br/>
              <w:t>   consolidated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as a percentage of</w:t>
              <w:br/>
              <w:t>   consolidated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Arial" w:hAnsi="Arial"/>
          <w:color w:val="000000"/>
          <w:sz w:val="16"/>
        </w:rPr>
      </w:pPr>
      <w:r>
        <w:rPr>
          <w:rFonts w:ascii="Arial" w:hAnsi="Arial"/>
          <w:color w:val="000000"/>
          <w:sz w:val="16"/>
        </w:rPr>
        <w:t>The change in net sales for the Asia Segment was as follows:</w:t>
      </w:r>
    </w:p>
    <w:tbl>
      <w:tblPr>
        <w:tblW w:w="4605" w:type="dxa"/>
        <w:jc w:val="left"/>
        <w:tblInd w:w="0" w:type="dxa"/>
        <w:tblLayout w:type="fixed"/>
        <w:tblCellMar>
          <w:top w:w="28" w:type="dxa"/>
          <w:left w:w="28" w:type="dxa"/>
          <w:bottom w:w="28" w:type="dxa"/>
          <w:right w:w="28" w:type="dxa"/>
        </w:tblCellMar>
      </w:tblPr>
      <w:tblGrid>
        <w:gridCol w:w="3451"/>
        <w:gridCol w:w="146"/>
        <w:gridCol w:w="196"/>
        <w:gridCol w:w="60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28,303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(8,966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average selling price and sales mix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402</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20,807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net sales for the Asia Segment from the prior period to current period was primarily attributable to an overall decrease in sales volumes due to competitive pricing pressures and the continued volatility introduced by recent tariffs, partially offset by a change in sales mix of REPREVE products.</w:t>
      </w:r>
    </w:p>
    <w:p>
      <w:pPr>
        <w:pStyle w:val="TextBody"/>
        <w:bidi w:val="0"/>
        <w:spacing w:before="240" w:after="120"/>
        <w:jc w:val="both"/>
        <w:rPr>
          <w:rFonts w:ascii="Arial" w:hAnsi="Arial"/>
          <w:color w:val="000000"/>
          <w:sz w:val="16"/>
        </w:rPr>
      </w:pPr>
      <w:r>
        <w:rPr>
          <w:rFonts w:ascii="Arial" w:hAnsi="Arial"/>
          <w:color w:val="000000"/>
          <w:sz w:val="16"/>
        </w:rPr>
        <w:t>The change in Segment Profit for the Asia Segment was as follows:</w:t>
      </w:r>
    </w:p>
    <w:tbl>
      <w:tblPr>
        <w:tblW w:w="4755" w:type="dxa"/>
        <w:jc w:val="left"/>
        <w:tblInd w:w="0" w:type="dxa"/>
        <w:tblLayout w:type="fixed"/>
        <w:tblCellMar>
          <w:top w:w="28" w:type="dxa"/>
          <w:left w:w="28" w:type="dxa"/>
          <w:bottom w:w="28" w:type="dxa"/>
          <w:right w:w="28" w:type="dxa"/>
        </w:tblCellMar>
      </w:tblPr>
      <w:tblGrid>
        <w:gridCol w:w="3631"/>
        <w:gridCol w:w="146"/>
        <w:gridCol w:w="196"/>
        <w:gridCol w:w="571"/>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prior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underlying unit margins and sales mix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659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current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2,967</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Segment Profit for the Asia Segment from the prior period to the current period was primarily attributable to lower sales volumes discussed above, partially offset by a change in sales mix of REPREVE products.</w:t>
      </w:r>
    </w:p>
    <w:p>
      <w:pPr>
        <w:pStyle w:val="TextBody"/>
        <w:bidi w:val="0"/>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16"/>
        </w:rPr>
      </w:pPr>
      <w:r>
        <w:rPr>
          <w:rFonts w:ascii="Arial" w:hAnsi="Arial"/>
          <w:b/>
          <w:color w:val="000000"/>
          <w:sz w:val="16"/>
        </w:rPr>
        <w:t>Six Months Ended December 28, 2025 Compared to Six Months Ended December 29, 2024</w:t>
      </w:r>
    </w:p>
    <w:p>
      <w:pPr>
        <w:pStyle w:val="TextBody"/>
        <w:bidi w:val="0"/>
        <w:spacing w:before="120" w:after="283"/>
        <w:jc w:val="both"/>
        <w:rPr>
          <w:rFonts w:ascii="Arial" w:hAnsi="Arial"/>
          <w:b/>
          <w:i/>
          <w:color w:val="000000"/>
          <w:sz w:val="16"/>
        </w:rPr>
      </w:pPr>
      <w:r>
        <w:rPr>
          <w:rFonts w:ascii="Arial" w:hAnsi="Arial"/>
          <w:b/>
          <w:i/>
          <w:color w:val="000000"/>
          <w:sz w:val="16"/>
        </w:rPr>
        <w:t>Consolidated Overview</w:t>
      </w:r>
    </w:p>
    <w:p>
      <w:pPr>
        <w:pStyle w:val="TextBody"/>
        <w:bidi w:val="0"/>
        <w:spacing w:before="120" w:after="283"/>
        <w:jc w:val="both"/>
        <w:rPr>
          <w:rFonts w:ascii="Arial" w:hAnsi="Arial"/>
          <w:color w:val="000000"/>
          <w:sz w:val="16"/>
        </w:rPr>
      </w:pPr>
      <w:r>
        <w:rPr>
          <w:rFonts w:ascii="Arial" w:hAnsi="Arial"/>
          <w:color w:val="000000"/>
          <w:sz w:val="16"/>
        </w:rPr>
        <w:t>The below tables provide:</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the components of net loss and the percentage increase or decrease over the prior six-month period amounts, and</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a reconciliation from net loss to EBITDA and Adjusted EBITDA.</w:t>
      </w:r>
    </w:p>
    <w:p>
      <w:pPr>
        <w:pStyle w:val="TextBody"/>
        <w:bidi w:val="0"/>
        <w:spacing w:before="240" w:after="283"/>
        <w:jc w:val="both"/>
        <w:rPr>
          <w:rFonts w:ascii="Arial" w:hAnsi="Arial"/>
          <w:color w:val="000000"/>
          <w:sz w:val="16"/>
        </w:rPr>
      </w:pPr>
      <w:r>
        <w:rPr>
          <w:rFonts w:ascii="Arial" w:hAnsi="Arial"/>
          <w:color w:val="000000"/>
          <w:sz w:val="16"/>
        </w:rPr>
        <w:t>Following the tables is a discussion and analysis of the significant components of net loss.</w:t>
      </w:r>
    </w:p>
    <w:p>
      <w:pPr>
        <w:pStyle w:val="TextBody"/>
        <w:bidi w:val="0"/>
        <w:spacing w:before="240" w:after="120"/>
        <w:jc w:val="left"/>
        <w:rPr>
          <w:rFonts w:ascii="Arial" w:hAnsi="Arial"/>
          <w:i/>
          <w:color w:val="000000"/>
          <w:sz w:val="16"/>
          <w:u w:val="single"/>
        </w:rPr>
      </w:pPr>
      <w:r>
        <w:rPr>
          <w:rFonts w:ascii="Arial" w:hAnsi="Arial"/>
          <w:i/>
          <w:color w:val="000000"/>
          <w:sz w:val="16"/>
          <w:u w:val="single"/>
        </w:rPr>
        <w:t>Net Loss</w:t>
      </w:r>
    </w:p>
    <w:tbl>
      <w:tblPr>
        <w:tblW w:w="8721" w:type="dxa"/>
        <w:jc w:val="left"/>
        <w:tblInd w:w="0" w:type="dxa"/>
        <w:tblLayout w:type="fixed"/>
        <w:tblCellMar>
          <w:top w:w="28" w:type="dxa"/>
          <w:left w:w="28" w:type="dxa"/>
          <w:bottom w:w="28" w:type="dxa"/>
          <w:right w:w="28" w:type="dxa"/>
        </w:tblCellMar>
      </w:tblPr>
      <w:tblGrid>
        <w:gridCol w:w="2941"/>
        <w:gridCol w:w="146"/>
        <w:gridCol w:w="196"/>
        <w:gridCol w:w="691"/>
        <w:gridCol w:w="166"/>
        <w:gridCol w:w="146"/>
        <w:gridCol w:w="186"/>
        <w:gridCol w:w="654"/>
        <w:gridCol w:w="166"/>
        <w:gridCol w:w="146"/>
        <w:gridCol w:w="196"/>
        <w:gridCol w:w="691"/>
        <w:gridCol w:w="166"/>
        <w:gridCol w:w="146"/>
        <w:gridCol w:w="186"/>
        <w:gridCol w:w="654"/>
        <w:gridCol w:w="166"/>
        <w:gridCol w:w="146"/>
        <w:gridCol w:w="167"/>
        <w:gridCol w:w="554"/>
        <w:gridCol w:w="2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9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257,042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286,252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250,044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276,260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6,998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SG&amp;A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24,763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bad debts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Restructuring costs,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operating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nm</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Operating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56.9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(67.4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nm = not meaningful</w:t>
      </w:r>
    </w:p>
    <w:p>
      <w:pPr>
        <w:pStyle w:val="TextBody"/>
        <w:bidi w:val="0"/>
        <w:spacing w:before="360" w:after="283"/>
        <w:jc w:val="both"/>
        <w:rPr>
          <w:rFonts w:ascii="Arial" w:hAnsi="Arial"/>
          <w:i/>
          <w:color w:val="000000"/>
          <w:sz w:val="16"/>
          <w:u w:val="single"/>
        </w:rPr>
      </w:pPr>
      <w:r>
        <w:rPr>
          <w:rFonts w:ascii="Arial" w:hAnsi="Arial"/>
          <w:i/>
          <w:color w:val="000000"/>
          <w:sz w:val="16"/>
          <w:u w:val="single"/>
        </w:rPr>
        <w:t>EBITDA and Adjusted EBITDA (Non-GAAP Financial Measures)</w:t>
      </w:r>
    </w:p>
    <w:p>
      <w:pPr>
        <w:pStyle w:val="TextBody"/>
        <w:bidi w:val="0"/>
        <w:spacing w:before="120" w:after="120"/>
        <w:jc w:val="both"/>
        <w:rPr>
          <w:rFonts w:ascii="Arial" w:hAnsi="Arial"/>
          <w:color w:val="000000"/>
          <w:sz w:val="16"/>
        </w:rPr>
      </w:pPr>
      <w:r>
        <w:rPr>
          <w:rFonts w:ascii="Arial" w:hAnsi="Arial"/>
          <w:color w:val="000000"/>
          <w:sz w:val="16"/>
        </w:rPr>
        <w:t>The reconciliations of the amounts reported under GAAP for Net loss to EBITDA and Adjusted EBITDA were as follows:</w:t>
      </w:r>
    </w:p>
    <w:tbl>
      <w:tblPr>
        <w:tblW w:w="6960" w:type="dxa"/>
        <w:jc w:val="left"/>
        <w:tblInd w:w="0" w:type="dxa"/>
        <w:tblLayout w:type="fixed"/>
        <w:tblCellMar>
          <w:top w:w="28" w:type="dxa"/>
          <w:left w:w="28" w:type="dxa"/>
          <w:bottom w:w="28" w:type="dxa"/>
          <w:right w:w="28" w:type="dxa"/>
        </w:tblCellMar>
      </w:tblPr>
      <w:tblGrid>
        <w:gridCol w:w="3121"/>
        <w:gridCol w:w="146"/>
        <w:gridCol w:w="360"/>
        <w:gridCol w:w="1215"/>
        <w:gridCol w:w="177"/>
        <w:gridCol w:w="155"/>
        <w:gridCol w:w="360"/>
        <w:gridCol w:w="1215"/>
        <w:gridCol w:w="211"/>
      </w:tblGrid>
      <w:tr>
        <w:trPr/>
        <w:tc>
          <w:tcPr>
            <w:tcW w:w="31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2,957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4,471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Depreciation and amortization expense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11,812</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12,787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EBITDA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(5,146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Transition costs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 of warehouse </w:t>
            </w:r>
            <w:r>
              <w:rPr>
                <w:rFonts w:ascii="Arial" w:hAnsi="Arial"/>
                <w:color w:val="000000"/>
                <w:sz w:val="11"/>
              </w:rPr>
              <w:t>(4)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12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EBITDA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(3,293</w:t>
            </w:r>
          </w:p>
        </w:tc>
        <w:tc>
          <w:tcPr>
            <w:tcW w:w="1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(2,540</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Within this reconciliation, depreciation and amortization expense excludes the amortization of debt issuance costs, which are reflected in interest expense, net. However, within the accompanying Condensed Consolidated Statements of Cash Flows, amortization of debt issuance costs is reflected in depreciation and amortization expense.</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2026, UNIFI recorded employee separation costs of $1,093 in connection with the Fiscal 2026 Profit Improvement Plan and a $308 gain from disposals of assets from the consolidation of Americas yarn manufacturing operations.</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In the first quarter of fiscal 2026, UNIFI incurred various transition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net in the Condensed Consolidated Statements of Operations.</w:t>
      </w:r>
    </w:p>
    <w:p>
      <w:pPr>
        <w:pStyle w:val="TextBody"/>
        <w:bidi w:val="0"/>
        <w:spacing w:before="120" w:after="283"/>
        <w:jc w:val="both"/>
        <w:rPr>
          <w:rFonts w:ascii="Arial" w:hAnsi="Arial"/>
          <w:color w:val="000000"/>
          <w:sz w:val="16"/>
        </w:rPr>
      </w:pPr>
      <w:r>
        <w:rPr>
          <w:rFonts w:ascii="Arial" w:hAnsi="Arial"/>
          <w:color w:val="000000"/>
          <w:sz w:val="16"/>
        </w:rPr>
        <w:t>(4)</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w:t>
      </w:r>
    </w:p>
    <w:p>
      <w:pPr>
        <w:pStyle w:val="TextBody"/>
        <w:bidi w:val="0"/>
        <w:spacing w:before="240" w:after="283"/>
        <w:jc w:val="center"/>
        <w:rPr>
          <w:rFonts w:ascii="Arial" w:hAnsi="Arial"/>
          <w:color w:val="000000"/>
          <w:sz w:val="16"/>
        </w:rPr>
      </w:pPr>
      <w:r>
        <w:rPr>
          <w:rFonts w:ascii="Arial" w:hAnsi="Arial"/>
          <w:color w:val="000000"/>
          <w:sz w:val="16"/>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i/>
          <w:color w:val="000000"/>
          <w:sz w:val="16"/>
          <w:u w:val="single"/>
        </w:rPr>
      </w:pPr>
      <w:r>
        <w:rPr>
          <w:rFonts w:ascii="Arial" w:hAnsi="Arial"/>
          <w:i/>
          <w:color w:val="000000"/>
          <w:sz w:val="16"/>
          <w:u w:val="single"/>
        </w:rPr>
        <w:t>Adjusted Net Loss and Adjusted EPS (Non-GAAP Financial Measures)</w:t>
      </w:r>
    </w:p>
    <w:p>
      <w:pPr>
        <w:pStyle w:val="TextBody"/>
        <w:bidi w:val="0"/>
        <w:spacing w:before="120" w:after="120"/>
        <w:jc w:val="both"/>
        <w:rPr>
          <w:rFonts w:ascii="Arial" w:hAnsi="Arial"/>
          <w:color w:val="000000"/>
          <w:sz w:val="16"/>
        </w:rPr>
      </w:pPr>
      <w:r>
        <w:rPr>
          <w:rFonts w:ascii="Arial" w:hAnsi="Arial"/>
          <w:color w:val="000000"/>
          <w:sz w:val="16"/>
        </w:rPr>
        <w:t>The tables below set forth reconciliations of (i) Loss before income taxes (“Pre-tax Loss”), (ii) Provision for income taxes (“Tax Impact”), (iii) Net Loss to Adjusted Net Loss, and (iv) Diluted EPS to Adjusted EPS.</w:t>
      </w:r>
    </w:p>
    <w:tbl>
      <w:tblPr>
        <w:tblW w:w="10208" w:type="dxa"/>
        <w:jc w:val="left"/>
        <w:tblInd w:w="0" w:type="dxa"/>
        <w:tblLayout w:type="fixed"/>
        <w:tblCellMar>
          <w:top w:w="28" w:type="dxa"/>
          <w:left w:w="28" w:type="dxa"/>
          <w:bottom w:w="28" w:type="dxa"/>
          <w:right w:w="28" w:type="dxa"/>
        </w:tblCellMar>
      </w:tblPr>
      <w:tblGrid>
        <w:gridCol w:w="1111"/>
        <w:gridCol w:w="146"/>
        <w:gridCol w:w="196"/>
        <w:gridCol w:w="661"/>
        <w:gridCol w:w="166"/>
        <w:gridCol w:w="146"/>
        <w:gridCol w:w="196"/>
        <w:gridCol w:w="571"/>
        <w:gridCol w:w="166"/>
        <w:gridCol w:w="146"/>
        <w:gridCol w:w="196"/>
        <w:gridCol w:w="661"/>
        <w:gridCol w:w="166"/>
        <w:gridCol w:w="146"/>
        <w:gridCol w:w="196"/>
        <w:gridCol w:w="601"/>
        <w:gridCol w:w="166"/>
        <w:gridCol w:w="146"/>
        <w:gridCol w:w="196"/>
        <w:gridCol w:w="661"/>
        <w:gridCol w:w="166"/>
        <w:gridCol w:w="146"/>
        <w:gridCol w:w="196"/>
        <w:gridCol w:w="571"/>
        <w:gridCol w:w="166"/>
        <w:gridCol w:w="146"/>
        <w:gridCol w:w="196"/>
        <w:gridCol w:w="661"/>
        <w:gridCol w:w="166"/>
        <w:gridCol w:w="146"/>
        <w:gridCol w:w="196"/>
        <w:gridCol w:w="601"/>
        <w:gridCol w:w="211"/>
      </w:tblGrid>
      <w:tr>
        <w:trPr/>
        <w:tc>
          <w:tcPr>
            <w:tcW w:w="1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21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 December 29,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Pre-tax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Tax Impact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Net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Diluted EPS</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GAAP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(15,502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Restructuring costs, net </w:t>
            </w:r>
            <w:r>
              <w:rPr>
                <w:rFonts w:ascii="Arial" w:hAnsi="Arial"/>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Transition costs </w:t>
            </w:r>
            <w:r>
              <w:rPr>
                <w:rFonts w:ascii="Arial" w:hAnsi="Arial"/>
                <w:color w:val="000000"/>
                <w:sz w:val="11"/>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Arial" w:hAnsi="Arial"/>
                <w:color w:val="000000"/>
                <w:sz w:val="16"/>
              </w:rPr>
              <w:t xml:space="preserve">Gain on sale of warehouse </w:t>
            </w:r>
            <w:r>
              <w:rPr>
                <w:rFonts w:ascii="Arial" w:hAnsi="Arial"/>
                <w:color w:val="000000"/>
                <w:sz w:val="11"/>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Adjusted results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(18,062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(1,159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(19,221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(19,798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(23,320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1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362" w:type="dxa"/>
            <w:gridSpan w:val="12"/>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Weighted average common shares outstanding</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18,391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18,272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both"/>
        <w:rPr>
          <w:rFonts w:ascii="Arial" w:hAnsi="Arial"/>
          <w:color w:val="000000"/>
          <w:sz w:val="16"/>
        </w:rPr>
      </w:pPr>
      <w:r>
        <w:rPr>
          <w:rFonts w:ascii="Arial" w:hAnsi="Arial"/>
          <w:color w:val="000000"/>
          <w:sz w:val="16"/>
        </w:rPr>
        <w:t>(1)</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2026, UNIFI recorded employee separation costs of $1,093 in connection with the Fiscal 2026 Profit Improvement Plan and a $308 gain from disposals of assets from the consolidation of Americas yarn manufacturing operations. The associated tax impact was estimated to be $11 related to employee separation costs in the Asia Segment.</w:t>
      </w:r>
    </w:p>
    <w:p>
      <w:pPr>
        <w:pStyle w:val="TextBody"/>
        <w:bidi w:val="0"/>
        <w:spacing w:before="120" w:after="283"/>
        <w:jc w:val="both"/>
        <w:rPr>
          <w:rFonts w:ascii="Arial" w:hAnsi="Arial"/>
          <w:color w:val="000000"/>
          <w:sz w:val="16"/>
        </w:rPr>
      </w:pPr>
      <w:r>
        <w:rPr>
          <w:rFonts w:ascii="Arial" w:hAnsi="Arial"/>
          <w:color w:val="000000"/>
          <w:sz w:val="16"/>
        </w:rPr>
        <w:t>(2)</w:t>
      </w:r>
    </w:p>
    <w:p>
      <w:pPr>
        <w:pStyle w:val="TextBody"/>
        <w:bidi w:val="0"/>
        <w:spacing w:before="120" w:after="283"/>
        <w:jc w:val="both"/>
        <w:rPr>
          <w:rFonts w:ascii="Arial" w:hAnsi="Arial"/>
          <w:color w:val="000000"/>
          <w:sz w:val="16"/>
        </w:rPr>
      </w:pPr>
      <w:r>
        <w:rPr>
          <w:rFonts w:ascii="Arial" w:hAnsi="Arial"/>
          <w:color w:val="000000"/>
          <w:sz w:val="16"/>
        </w:rPr>
        <w:t xml:space="preserve">In the first quarter of fiscal 2026, UNIFI incurred various transition costs totaling $1,068 in connection with the consolidation of its yarn manufacturing operations including (i) facility closure and equipment relocation costs (including asset impairments and disposals) of $1,021, and (ii) employee separation costs of $47. The facility closure, equipment relocation, and employee separation costs were all recorded within Restructuring costs in the Condensed Consolidated Statements of Operations. The associated tax impact was estimated to be $0 due to a valuation allowance against net operating losses in the U.S. </w:t>
      </w:r>
    </w:p>
    <w:p>
      <w:pPr>
        <w:pStyle w:val="TextBody"/>
        <w:bidi w:val="0"/>
        <w:spacing w:before="120" w:after="283"/>
        <w:jc w:val="both"/>
        <w:rPr>
          <w:rFonts w:ascii="Arial" w:hAnsi="Arial"/>
          <w:color w:val="000000"/>
          <w:sz w:val="16"/>
        </w:rPr>
      </w:pPr>
      <w:r>
        <w:rPr>
          <w:rFonts w:ascii="Arial" w:hAnsi="Arial"/>
          <w:color w:val="000000"/>
          <w:sz w:val="16"/>
        </w:rPr>
        <w:t>(3)</w:t>
      </w:r>
    </w:p>
    <w:p>
      <w:pPr>
        <w:pStyle w:val="TextBody"/>
        <w:bidi w:val="0"/>
        <w:spacing w:before="120" w:after="283"/>
        <w:jc w:val="both"/>
        <w:rPr>
          <w:rFonts w:ascii="Arial" w:hAnsi="Arial"/>
          <w:color w:val="000000"/>
          <w:sz w:val="16"/>
        </w:rPr>
      </w:pPr>
      <w:r>
        <w:rPr>
          <w:rFonts w:ascii="Arial" w:hAnsi="Arial"/>
          <w:color w:val="000000"/>
          <w:sz w:val="16"/>
        </w:rPr>
        <w:t xml:space="preserve">In the second quarter of fiscal 2025, UNIFI recorded a gain of $4,296 related to the sale of a warehouse located in Yadkinville, North Carolina. The associated tax impact was estimated to be $0 due to a valuation allowance against net operating losses and capital losses in the U.S. </w:t>
      </w:r>
    </w:p>
    <w:p>
      <w:pPr>
        <w:pStyle w:val="TextBody"/>
        <w:bidi w:val="0"/>
        <w:spacing w:before="360" w:after="283"/>
        <w:jc w:val="both"/>
        <w:rPr>
          <w:rFonts w:ascii="Arial" w:hAnsi="Arial"/>
          <w:b/>
          <w:i/>
          <w:color w:val="000000"/>
          <w:sz w:val="16"/>
        </w:rPr>
      </w:pPr>
      <w:r>
        <w:rPr>
          <w:rFonts w:ascii="Arial" w:hAnsi="Arial"/>
          <w:b/>
          <w:i/>
          <w:color w:val="000000"/>
          <w:sz w:val="16"/>
        </w:rPr>
        <w:t>Net Sales</w:t>
      </w:r>
    </w:p>
    <w:p>
      <w:pPr>
        <w:pStyle w:val="TextBody"/>
        <w:bidi w:val="0"/>
        <w:spacing w:before="120" w:after="283"/>
        <w:jc w:val="both"/>
        <w:rPr>
          <w:rFonts w:ascii="Arial" w:hAnsi="Arial"/>
          <w:color w:val="000000"/>
          <w:sz w:val="16"/>
        </w:rPr>
      </w:pPr>
      <w:r>
        <w:rPr>
          <w:rFonts w:ascii="Arial" w:hAnsi="Arial"/>
          <w:color w:val="000000"/>
          <w:sz w:val="16"/>
        </w:rPr>
        <w:t>Consolidated net sales for the current six-month period decreased by $29,210, or 10.2%, and consolidated sales volumes decreased 7.5%, compared to the prior six-month period. Net sales in the current six-month period were lower primarily due to (i) lower sales volumes in the Asia Segment, (ii) lower-priced sales mix in the Americas Segment, and (iii) lower sales volumes and prices in the Brazil Segment. Overall sales remain depressed, particularly in the Americas and Asia Segments as a result of continued volatility from uncertainty over global trade policies and competition from lower-priced products.</w:t>
      </w:r>
    </w:p>
    <w:p>
      <w:pPr>
        <w:pStyle w:val="TextBody"/>
        <w:bidi w:val="0"/>
        <w:spacing w:before="240" w:after="283"/>
        <w:jc w:val="both"/>
        <w:rPr>
          <w:rFonts w:ascii="Arial" w:hAnsi="Arial"/>
          <w:color w:val="000000"/>
          <w:sz w:val="16"/>
        </w:rPr>
      </w:pPr>
      <w:r>
        <w:rPr>
          <w:rFonts w:ascii="Arial" w:hAnsi="Arial"/>
          <w:color w:val="000000"/>
          <w:sz w:val="16"/>
        </w:rPr>
        <w:t>Consolidated weighted average sales prices decreased 2.7%. The decrease in sales prices was primarily attributable to sales mix and lower average selling prices in the Americas and Brazil Segments.</w:t>
      </w:r>
    </w:p>
    <w:p>
      <w:pPr>
        <w:pStyle w:val="TextBody"/>
        <w:bidi w:val="0"/>
        <w:spacing w:before="240" w:after="283"/>
        <w:jc w:val="both"/>
        <w:rPr>
          <w:rFonts w:ascii="Times New Roman" w:hAnsi="Times New Roman"/>
          <w:sz w:val="20"/>
        </w:rPr>
      </w:pPr>
      <w:r>
        <w:rPr>
          <w:rFonts w:ascii="Arial" w:hAnsi="Arial"/>
          <w:color w:val="000000"/>
          <w:sz w:val="16"/>
        </w:rPr>
        <w:t>REPREVE</w:t>
      </w:r>
      <w:r>
        <w:rPr>
          <w:rFonts w:ascii="Arial" w:hAnsi="Arial"/>
          <w:color w:val="000000"/>
          <w:sz w:val="11"/>
        </w:rPr>
        <w:t>®</w:t>
      </w:r>
      <w:r>
        <w:rPr>
          <w:rFonts w:ascii="Times New Roman" w:hAnsi="Times New Roman"/>
          <w:color w:val="000000"/>
          <w:sz w:val="20"/>
        </w:rPr>
        <w:t xml:space="preserve"> </w:t>
      </w:r>
      <w:r>
        <w:rPr>
          <w:rFonts w:ascii="Arial" w:hAnsi="Arial"/>
          <w:color w:val="000000"/>
          <w:sz w:val="16"/>
        </w:rPr>
        <w:t>Fiber products for the current six-month period comprised 29%, or $73,536, of consolidated net sales, compared to 31%, or $88,014, for the prior six-month period.</w:t>
      </w:r>
    </w:p>
    <w:p>
      <w:pPr>
        <w:pStyle w:val="TextBody"/>
        <w:bidi w:val="0"/>
        <w:spacing w:before="360" w:after="283"/>
        <w:jc w:val="both"/>
        <w:rPr>
          <w:rFonts w:ascii="Arial" w:hAnsi="Arial"/>
          <w:b/>
          <w:i/>
          <w:color w:val="000000"/>
          <w:sz w:val="16"/>
        </w:rPr>
      </w:pPr>
      <w:r>
        <w:rPr>
          <w:rFonts w:ascii="Arial" w:hAnsi="Arial"/>
          <w:b/>
          <w:i/>
          <w:color w:val="000000"/>
          <w:sz w:val="16"/>
        </w:rPr>
        <w:t>Gross Profit</w:t>
      </w:r>
    </w:p>
    <w:p>
      <w:pPr>
        <w:pStyle w:val="TextBody"/>
        <w:bidi w:val="0"/>
        <w:spacing w:before="120" w:after="283"/>
        <w:jc w:val="both"/>
        <w:rPr>
          <w:rFonts w:ascii="Arial" w:hAnsi="Arial"/>
          <w:color w:val="000000"/>
          <w:sz w:val="16"/>
        </w:rPr>
      </w:pPr>
      <w:r>
        <w:rPr>
          <w:rFonts w:ascii="Arial" w:hAnsi="Arial"/>
          <w:color w:val="000000"/>
          <w:sz w:val="16"/>
        </w:rPr>
        <w:t>Gross profit for the current six-month period decreased to $6,998 from $9,992 in the prior six-month period. Gross profit decreased primarily due to (i) lower sales volumes, (ii) lower overall conversion margins and (iii) production volatility from an inability to forecast demand due to the tariff uncertainty in the Americas Segment. The decrease was partially offset by (a) variable cost-saving initiatives and (b) improved utilization in certain manufacturing areas. Gross profit continues to be unfavorably impacted by demand volatility in the Americas Segment and import pricing pressures in the Brazil Segment.</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6"/>
        </w:rPr>
      </w:pPr>
      <w:r>
        <w:rPr>
          <w:rFonts w:ascii="Arial" w:hAnsi="Arial"/>
          <w:color w:val="000000"/>
          <w:sz w:val="16"/>
        </w:rPr>
        <w:t>For the Americas Segment, gross profit increased primarily due to overall cost-saving initiatives, including reductions in manufacturing costs from the Americas yarn manufacturing consolidation and the Fiscal 2026 Profit Improvement Plan, partially offset by (a) demand and production volatility stemming from tariff uncertainty and (b) lower conversion margins from a lower-priced sales mix.</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6"/>
        </w:rPr>
      </w:pPr>
      <w:r>
        <w:rPr>
          <w:rFonts w:ascii="Arial" w:hAnsi="Arial"/>
          <w:color w:val="000000"/>
          <w:sz w:val="16"/>
        </w:rPr>
        <w:t>For the Brazil Segment, gross profit decreased primarily due to (i) lower sales volumes and (ii) competitive pricing pressures.</w:t>
      </w:r>
    </w:p>
    <w:p>
      <w:pPr>
        <w:pStyle w:val="TextBody"/>
        <w:bidi w:val="0"/>
        <w:spacing w:before="160" w:after="283"/>
        <w:jc w:val="both"/>
        <w:rPr>
          <w:color w:val="000000"/>
        </w:rPr>
      </w:pPr>
      <w:r>
        <w:rPr>
          <w:color w:val="000000"/>
        </w:rPr>
        <w:t>•</w:t>
      </w:r>
    </w:p>
    <w:p>
      <w:pPr>
        <w:pStyle w:val="TextBody"/>
        <w:bidi w:val="0"/>
        <w:spacing w:before="160" w:after="283"/>
        <w:jc w:val="both"/>
        <w:rPr>
          <w:rFonts w:ascii="Arial" w:hAnsi="Arial"/>
          <w:color w:val="000000"/>
          <w:sz w:val="16"/>
        </w:rPr>
      </w:pPr>
      <w:r>
        <w:rPr>
          <w:rFonts w:ascii="Arial" w:hAnsi="Arial"/>
          <w:color w:val="000000"/>
          <w:sz w:val="16"/>
        </w:rPr>
        <w:t>For the Asia Segment, gross profit decreased primarily due to lower sales volumes.</w:t>
      </w:r>
    </w:p>
    <w:p>
      <w:pPr>
        <w:pStyle w:val="TextBody"/>
        <w:bidi w:val="0"/>
        <w:spacing w:before="360" w:after="283"/>
        <w:jc w:val="both"/>
        <w:rPr>
          <w:rFonts w:ascii="Arial" w:hAnsi="Arial"/>
          <w:b/>
          <w:i/>
          <w:color w:val="000000"/>
          <w:sz w:val="16"/>
        </w:rPr>
      </w:pPr>
      <w:r>
        <w:rPr>
          <w:rFonts w:ascii="Arial" w:hAnsi="Arial"/>
          <w:b/>
          <w:i/>
          <w:color w:val="000000"/>
          <w:sz w:val="16"/>
        </w:rPr>
        <w:t>SG&amp;A</w:t>
      </w:r>
    </w:p>
    <w:p>
      <w:pPr>
        <w:pStyle w:val="TextBody"/>
        <w:bidi w:val="0"/>
        <w:spacing w:before="120" w:after="283"/>
        <w:jc w:val="both"/>
        <w:rPr>
          <w:rFonts w:ascii="Arial" w:hAnsi="Arial"/>
          <w:color w:val="000000"/>
          <w:sz w:val="16"/>
        </w:rPr>
      </w:pPr>
      <w:r>
        <w:rPr>
          <w:rFonts w:ascii="Arial" w:hAnsi="Arial"/>
          <w:color w:val="000000"/>
          <w:sz w:val="16"/>
        </w:rPr>
        <w:t>SG&amp;A decreased from the prior six-month period to the current six-month period, primarily due to the actions from the Fiscal 2026 Profit Improvement Plan.</w:t>
      </w:r>
    </w:p>
    <w:p>
      <w:pPr>
        <w:pStyle w:val="TextBody"/>
        <w:bidi w:val="0"/>
        <w:spacing w:before="360" w:after="283"/>
        <w:jc w:val="both"/>
        <w:rPr>
          <w:rFonts w:ascii="Arial" w:hAnsi="Arial"/>
          <w:b/>
          <w:i/>
          <w:color w:val="000000"/>
          <w:sz w:val="16"/>
        </w:rPr>
      </w:pPr>
      <w:r>
        <w:rPr>
          <w:rFonts w:ascii="Arial" w:hAnsi="Arial"/>
          <w:b/>
          <w:i/>
          <w:color w:val="000000"/>
          <w:sz w:val="16"/>
        </w:rPr>
        <w:t>Provision for Bad Debts</w:t>
      </w:r>
    </w:p>
    <w:p>
      <w:pPr>
        <w:pStyle w:val="TextBody"/>
        <w:bidi w:val="0"/>
        <w:spacing w:before="120" w:after="283"/>
        <w:jc w:val="both"/>
        <w:rPr>
          <w:rFonts w:ascii="Arial" w:hAnsi="Arial"/>
          <w:color w:val="000000"/>
          <w:sz w:val="16"/>
        </w:rPr>
      </w:pPr>
      <w:r>
        <w:rPr>
          <w:rFonts w:ascii="Arial" w:hAnsi="Arial"/>
          <w:color w:val="000000"/>
          <w:sz w:val="16"/>
        </w:rPr>
        <w:t>The current six-month period and prior six-month period provision reflect no material activity.</w:t>
      </w:r>
    </w:p>
    <w:p>
      <w:pPr>
        <w:pStyle w:val="TextBody"/>
        <w:bidi w:val="0"/>
        <w:spacing w:before="240" w:after="283"/>
        <w:jc w:val="center"/>
        <w:rPr>
          <w:rFonts w:ascii="Arial" w:hAnsi="Arial"/>
          <w:color w:val="000000"/>
          <w:sz w:val="16"/>
        </w:rPr>
      </w:pPr>
      <w:r>
        <w:rPr>
          <w:rFonts w:ascii="Arial" w:hAnsi="Arial"/>
          <w:color w:val="000000"/>
          <w:sz w:val="16"/>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16"/>
        </w:rPr>
      </w:pPr>
      <w:r>
        <w:rPr>
          <w:rFonts w:ascii="Arial" w:hAnsi="Arial"/>
          <w:b/>
          <w:i/>
          <w:color w:val="000000"/>
          <w:sz w:val="16"/>
        </w:rPr>
        <w:t>Restructuring Costs, Net</w:t>
      </w:r>
    </w:p>
    <w:p>
      <w:pPr>
        <w:pStyle w:val="TextBody"/>
        <w:bidi w:val="0"/>
        <w:spacing w:before="120" w:after="283"/>
        <w:jc w:val="both"/>
        <w:rPr>
          <w:rFonts w:ascii="Arial" w:hAnsi="Arial"/>
          <w:color w:val="000000"/>
          <w:sz w:val="16"/>
        </w:rPr>
      </w:pPr>
      <w:r>
        <w:rPr>
          <w:rFonts w:ascii="Arial" w:hAnsi="Arial"/>
          <w:color w:val="000000"/>
          <w:sz w:val="16"/>
        </w:rPr>
        <w:t>On February 3, 2025, UNIFI announced the closing of its Madison, North Carolina facility and the transition of those manufacturing operations to other UNIFI production facilities in North and Central America. As a result, UNIFI incurred transition costs of $1,068 in the current six-month period which consisted of (i) equipment relocation and facility closure costs (including asset impairments and disposals) of $1,021 and (ii) employee separation costs of $47. There were no Restructuring costs for the prior six-month period.</w:t>
      </w:r>
    </w:p>
    <w:p>
      <w:pPr>
        <w:pStyle w:val="TextBody"/>
        <w:bidi w:val="0"/>
        <w:spacing w:before="240" w:after="120"/>
        <w:jc w:val="both"/>
        <w:rPr>
          <w:rFonts w:ascii="Times New Roman" w:hAnsi="Times New Roman"/>
          <w:sz w:val="20"/>
        </w:rPr>
      </w:pPr>
      <w:r>
        <w:rPr>
          <w:rFonts w:ascii="Arial" w:hAnsi="Arial"/>
          <w:color w:val="000000"/>
          <w:sz w:val="16"/>
        </w:rPr>
        <w:t>During October 2025, UNIFI implemented additional cost-saving initiatives that include reducing variable manufacturing costs across labor, spend, and support functions, while also eliminating a meaningful percentage of salaried positions in the U.S. During the three-months ended December 28, 2025, UNIFI incurred employee separation costs of $1,093 related to the Fiscal 2026 Profit Improvement Plan. Additionally, UNIFI recognized a gain of $308 during the current period from disposals of assets in conjunction with the consolidation of Americas yarn manufacturing operations.</w:t>
      </w:r>
      <w:r>
        <w:rPr>
          <w:rFonts w:ascii="Times New Roman" w:hAnsi="Times New Roman"/>
          <w:color w:val="000000"/>
          <w:sz w:val="20"/>
        </w:rPr>
        <w:t xml:space="preserve"> </w:t>
      </w:r>
    </w:p>
    <w:p>
      <w:pPr>
        <w:pStyle w:val="TextBody"/>
        <w:bidi w:val="0"/>
        <w:spacing w:before="240" w:after="283"/>
        <w:jc w:val="both"/>
        <w:rPr>
          <w:rFonts w:ascii="Arial" w:hAnsi="Arial"/>
          <w:b/>
          <w:i/>
          <w:color w:val="000000"/>
          <w:sz w:val="16"/>
        </w:rPr>
      </w:pPr>
      <w:r>
        <w:rPr>
          <w:rFonts w:ascii="Arial" w:hAnsi="Arial"/>
          <w:b/>
          <w:i/>
          <w:color w:val="000000"/>
          <w:sz w:val="16"/>
        </w:rPr>
        <w:t>Gain on Sale of Assets</w:t>
      </w:r>
    </w:p>
    <w:p>
      <w:pPr>
        <w:pStyle w:val="TextBody"/>
        <w:bidi w:val="0"/>
        <w:spacing w:before="120" w:after="283"/>
        <w:jc w:val="both"/>
        <w:rPr>
          <w:rFonts w:ascii="Arial" w:hAnsi="Arial"/>
          <w:color w:val="000000"/>
          <w:sz w:val="16"/>
        </w:rPr>
      </w:pPr>
      <w:r>
        <w:rPr>
          <w:rFonts w:ascii="Arial" w:hAnsi="Arial"/>
          <w:color w:val="000000"/>
          <w:sz w:val="16"/>
        </w:rPr>
        <w:t>In the second quarter of fiscal 2025, UNIFI recorded a gain of $4,296 related to the sale of a warehouse located in Yadkinville, North Carolina.</w:t>
      </w:r>
    </w:p>
    <w:p>
      <w:pPr>
        <w:pStyle w:val="TextBody"/>
        <w:bidi w:val="0"/>
        <w:spacing w:before="360" w:after="283"/>
        <w:jc w:val="both"/>
        <w:rPr>
          <w:rFonts w:ascii="Arial" w:hAnsi="Arial"/>
          <w:b/>
          <w:i/>
          <w:color w:val="000000"/>
          <w:sz w:val="16"/>
        </w:rPr>
      </w:pPr>
      <w:r>
        <w:rPr>
          <w:rFonts w:ascii="Arial" w:hAnsi="Arial"/>
          <w:b/>
          <w:i/>
          <w:color w:val="000000"/>
          <w:sz w:val="16"/>
        </w:rPr>
        <w:t>Other Operating Expense, Net</w:t>
      </w:r>
    </w:p>
    <w:p>
      <w:pPr>
        <w:pStyle w:val="TextBody"/>
        <w:bidi w:val="0"/>
        <w:spacing w:before="120" w:after="283"/>
        <w:jc w:val="both"/>
        <w:rPr>
          <w:rFonts w:ascii="Arial" w:hAnsi="Arial"/>
          <w:color w:val="000000"/>
          <w:sz w:val="16"/>
        </w:rPr>
      </w:pPr>
      <w:r>
        <w:rPr>
          <w:rFonts w:ascii="Arial" w:hAnsi="Arial"/>
          <w:color w:val="000000"/>
          <w:sz w:val="16"/>
        </w:rPr>
        <w:t>Other operating expense, net for the current six-month period and the prior six-month period include foreign currency transaction losses of $375 and $268, respectively, with no other meaningful activity.</w:t>
      </w:r>
    </w:p>
    <w:p>
      <w:pPr>
        <w:pStyle w:val="TextBody"/>
        <w:bidi w:val="0"/>
        <w:spacing w:before="360" w:after="283"/>
        <w:jc w:val="both"/>
        <w:rPr>
          <w:rFonts w:ascii="Arial" w:hAnsi="Arial"/>
          <w:b/>
          <w:i/>
          <w:color w:val="000000"/>
          <w:sz w:val="16"/>
        </w:rPr>
      </w:pPr>
      <w:r>
        <w:rPr>
          <w:rFonts w:ascii="Arial" w:hAnsi="Arial"/>
          <w:b/>
          <w:i/>
          <w:color w:val="000000"/>
          <w:sz w:val="16"/>
        </w:rPr>
        <w:t>Interest Expense, Net</w:t>
      </w:r>
    </w:p>
    <w:p>
      <w:pPr>
        <w:pStyle w:val="TextBody"/>
        <w:bidi w:val="0"/>
        <w:spacing w:before="120" w:after="283"/>
        <w:jc w:val="both"/>
        <w:rPr>
          <w:rFonts w:ascii="Arial" w:hAnsi="Arial"/>
          <w:color w:val="000000"/>
          <w:sz w:val="16"/>
        </w:rPr>
      </w:pPr>
      <w:r>
        <w:rPr>
          <w:rFonts w:ascii="Arial" w:hAnsi="Arial"/>
          <w:color w:val="000000"/>
          <w:sz w:val="16"/>
        </w:rPr>
        <w:t>Interest expense, net decreased in connection with lower average debt principal and lower average interest rates.</w:t>
      </w:r>
    </w:p>
    <w:p>
      <w:pPr>
        <w:pStyle w:val="TextBody"/>
        <w:bidi w:val="0"/>
        <w:spacing w:before="360" w:after="283"/>
        <w:jc w:val="both"/>
        <w:rPr>
          <w:rFonts w:ascii="Arial" w:hAnsi="Arial"/>
          <w:b/>
          <w:i/>
          <w:color w:val="000000"/>
          <w:sz w:val="16"/>
        </w:rPr>
      </w:pPr>
      <w:r>
        <w:rPr>
          <w:rFonts w:ascii="Arial" w:hAnsi="Arial"/>
          <w:b/>
          <w:i/>
          <w:color w:val="000000"/>
          <w:sz w:val="16"/>
        </w:rPr>
        <w:t>Equity in Loss of Unconsolidated Affiliate</w:t>
      </w:r>
    </w:p>
    <w:p>
      <w:pPr>
        <w:pStyle w:val="TextBody"/>
        <w:bidi w:val="0"/>
        <w:spacing w:before="120" w:after="283"/>
        <w:jc w:val="both"/>
        <w:rPr>
          <w:rFonts w:ascii="Arial" w:hAnsi="Arial"/>
          <w:color w:val="000000"/>
          <w:sz w:val="16"/>
        </w:rPr>
      </w:pPr>
      <w:r>
        <w:rPr>
          <w:rFonts w:ascii="Arial" w:hAnsi="Arial"/>
          <w:color w:val="000000"/>
          <w:sz w:val="16"/>
        </w:rPr>
        <w:t>There was no material activity for the current six-month period or the prior six-month period.</w:t>
      </w:r>
    </w:p>
    <w:p>
      <w:pPr>
        <w:pStyle w:val="TextBody"/>
        <w:bidi w:val="0"/>
        <w:spacing w:before="360" w:after="283"/>
        <w:jc w:val="both"/>
        <w:rPr>
          <w:rFonts w:ascii="Arial" w:hAnsi="Arial"/>
          <w:b/>
          <w:i/>
          <w:color w:val="000000"/>
          <w:sz w:val="16"/>
        </w:rPr>
      </w:pPr>
      <w:r>
        <w:rPr>
          <w:rFonts w:ascii="Arial" w:hAnsi="Arial"/>
          <w:b/>
          <w:i/>
          <w:color w:val="000000"/>
          <w:sz w:val="16"/>
        </w:rPr>
        <w:t>Income Taxes</w:t>
      </w:r>
    </w:p>
    <w:p>
      <w:pPr>
        <w:pStyle w:val="TextBody"/>
        <w:bidi w:val="0"/>
        <w:spacing w:before="120" w:after="120"/>
        <w:jc w:val="both"/>
        <w:rPr>
          <w:rFonts w:ascii="Arial" w:hAnsi="Arial"/>
          <w:color w:val="000000"/>
          <w:sz w:val="16"/>
        </w:rPr>
      </w:pPr>
      <w:r>
        <w:rPr>
          <w:rFonts w:ascii="Arial" w:hAnsi="Arial"/>
          <w:color w:val="000000"/>
          <w:sz w:val="16"/>
        </w:rPr>
        <w:t>Provision for income taxes and the effective tax rate were as follows:</w:t>
      </w:r>
    </w:p>
    <w:tbl>
      <w:tblPr>
        <w:tblW w:w="6245" w:type="dxa"/>
        <w:jc w:val="left"/>
        <w:tblInd w:w="0" w:type="dxa"/>
        <w:tblLayout w:type="fixed"/>
        <w:tblCellMar>
          <w:top w:w="28" w:type="dxa"/>
          <w:left w:w="28" w:type="dxa"/>
          <w:bottom w:w="28" w:type="dxa"/>
          <w:right w:w="28" w:type="dxa"/>
        </w:tblCellMar>
      </w:tblPr>
      <w:tblGrid>
        <w:gridCol w:w="2056"/>
        <w:gridCol w:w="146"/>
        <w:gridCol w:w="435"/>
        <w:gridCol w:w="1140"/>
        <w:gridCol w:w="364"/>
        <w:gridCol w:w="168"/>
        <w:gridCol w:w="435"/>
        <w:gridCol w:w="1140"/>
        <w:gridCol w:w="361"/>
      </w:tblGrid>
      <w:tr>
        <w:trPr/>
        <w:tc>
          <w:tcPr>
            <w:tcW w:w="2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36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3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0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1,148</w:t>
            </w:r>
          </w:p>
        </w:tc>
        <w:tc>
          <w:tcPr>
            <w:tcW w:w="36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14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3,522</w:t>
            </w:r>
          </w:p>
        </w:tc>
        <w:tc>
          <w:tcPr>
            <w:tcW w:w="3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0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Effective tax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(5.8</w:t>
            </w:r>
          </w:p>
        </w:tc>
        <w:tc>
          <w:tcPr>
            <w:tcW w:w="364"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(22.7</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jc w:val="both"/>
        <w:rPr/>
      </w:pPr>
      <w:r>
        <w:rPr/>
        <w:t> </w:t>
      </w:r>
    </w:p>
    <w:p>
      <w:pPr>
        <w:pStyle w:val="TextBody"/>
        <w:bidi w:val="0"/>
        <w:jc w:val="both"/>
        <w:rPr>
          <w:rFonts w:ascii="Arial" w:hAnsi="Arial"/>
          <w:color w:val="000000"/>
          <w:sz w:val="16"/>
        </w:rPr>
      </w:pPr>
      <w:r>
        <w:rPr>
          <w:rFonts w:ascii="Arial" w:hAnsi="Arial"/>
          <w:color w:val="000000"/>
          <w:sz w:val="16"/>
        </w:rPr>
        <w:t>The effective tax rate is subject to variation due to a number of factors, including variability in pre-tax book income; the mix of income by jurisdiction; changes in deferred tax valuation allowances; and changes in statutes, audit settlement, regulations, and case law. Additionally, the impacts of discrete and other rate impacting items are more pronounced when loss before income taxes is lower.</w:t>
      </w:r>
    </w:p>
    <w:p>
      <w:pPr>
        <w:pStyle w:val="TextBody"/>
        <w:bidi w:val="0"/>
        <w:jc w:val="both"/>
        <w:rPr>
          <w:rFonts w:ascii="Times New Roman" w:hAnsi="Times New Roman"/>
          <w:sz w:val="20"/>
        </w:rPr>
      </w:pPr>
      <w:r>
        <w:rPr>
          <w:rFonts w:ascii="Arial" w:hAnsi="Arial"/>
          <w:color w:val="000000"/>
          <w:sz w:val="16"/>
        </w:rPr>
        <w:t>The increase in the effective tax rate from the prior six-month period to the current six-month period is primarily attributable to lower foreign earnings in the current six-month period.</w:t>
      </w:r>
      <w:r>
        <w:rPr>
          <w:rFonts w:ascii="Times New Roman" w:hAnsi="Times New Roman"/>
          <w:color w:val="000000"/>
          <w:sz w:val="20"/>
        </w:rPr>
        <w:t xml:space="preserve"> </w:t>
      </w:r>
    </w:p>
    <w:p>
      <w:pPr>
        <w:pStyle w:val="TextBody"/>
        <w:bidi w:val="0"/>
        <w:spacing w:before="360" w:after="283"/>
        <w:jc w:val="both"/>
        <w:rPr>
          <w:rFonts w:ascii="Arial" w:hAnsi="Arial"/>
          <w:b/>
          <w:i/>
          <w:color w:val="000000"/>
          <w:sz w:val="16"/>
        </w:rPr>
      </w:pPr>
      <w:r>
        <w:rPr>
          <w:rFonts w:ascii="Arial" w:hAnsi="Arial"/>
          <w:b/>
          <w:i/>
          <w:color w:val="000000"/>
          <w:sz w:val="16"/>
        </w:rPr>
        <w:t>Net Loss</w:t>
      </w:r>
    </w:p>
    <w:p>
      <w:pPr>
        <w:pStyle w:val="TextBody"/>
        <w:bidi w:val="0"/>
        <w:spacing w:before="120" w:after="283"/>
        <w:jc w:val="both"/>
        <w:rPr>
          <w:rFonts w:ascii="Arial" w:hAnsi="Arial"/>
          <w:color w:val="000000"/>
          <w:sz w:val="16"/>
        </w:rPr>
      </w:pPr>
      <w:r>
        <w:rPr>
          <w:rFonts w:ascii="Arial" w:hAnsi="Arial"/>
          <w:color w:val="000000"/>
          <w:sz w:val="16"/>
        </w:rPr>
        <w:t>The increase in net loss was primarily attributable to (i) decreased gross profit and (ii) restructuring costs, net incurred in the current six-month period and (iii) a gain on sale of assets in the prior six-month period, partially offset by (a) lower SG&amp;A expenses, (b) lower interest expense, net, and (c) lower income tax expense.</w:t>
      </w:r>
    </w:p>
    <w:p>
      <w:pPr>
        <w:pStyle w:val="TextBody"/>
        <w:bidi w:val="0"/>
        <w:spacing w:before="120" w:after="283"/>
        <w:jc w:val="both"/>
        <w:rPr/>
      </w:pPr>
      <w:r>
        <w:rPr/>
        <w:t> </w:t>
      </w:r>
    </w:p>
    <w:p>
      <w:pPr>
        <w:pStyle w:val="TextBody"/>
        <w:bidi w:val="0"/>
        <w:spacing w:before="120" w:after="283"/>
        <w:jc w:val="both"/>
        <w:rPr>
          <w:rFonts w:ascii="Arial" w:hAnsi="Arial"/>
          <w:b/>
          <w:color w:val="000000"/>
          <w:sz w:val="16"/>
        </w:rPr>
      </w:pPr>
      <w:r>
        <w:rPr>
          <w:rFonts w:ascii="Arial" w:hAnsi="Arial"/>
          <w:b/>
          <w:color w:val="000000"/>
          <w:sz w:val="16"/>
        </w:rPr>
        <w:t>Adjusted EBITDA and Adjusted EPS (Non-GAAP Financial Measures)</w:t>
      </w:r>
    </w:p>
    <w:p>
      <w:pPr>
        <w:pStyle w:val="TextBody"/>
        <w:bidi w:val="0"/>
        <w:spacing w:before="120" w:after="283"/>
        <w:jc w:val="both"/>
        <w:rPr>
          <w:rFonts w:ascii="Arial" w:hAnsi="Arial"/>
          <w:color w:val="000000"/>
          <w:sz w:val="16"/>
        </w:rPr>
      </w:pPr>
      <w:r>
        <w:rPr>
          <w:rFonts w:ascii="Arial" w:hAnsi="Arial"/>
          <w:color w:val="000000"/>
          <w:sz w:val="16"/>
        </w:rPr>
        <w:t>Adjusted EBITDA decreased primarily due to lower gross profit, partially offset by lower SG&amp;A. Adjusted EPS improved primarily due to (i) lower interest expense and (ii) income tax expense.</w:t>
      </w:r>
    </w:p>
    <w:p>
      <w:pPr>
        <w:pStyle w:val="TextBody"/>
        <w:bidi w:val="0"/>
        <w:spacing w:before="240" w:after="283"/>
        <w:jc w:val="center"/>
        <w:rPr>
          <w:rFonts w:ascii="Arial" w:hAnsi="Arial"/>
          <w:color w:val="000000"/>
          <w:sz w:val="16"/>
        </w:rPr>
      </w:pPr>
      <w:r>
        <w:rPr>
          <w:rFonts w:ascii="Arial" w:hAnsi="Arial"/>
          <w:color w:val="000000"/>
          <w:sz w:val="16"/>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16"/>
        </w:rPr>
      </w:pPr>
      <w:r>
        <w:rPr>
          <w:rFonts w:ascii="Arial" w:hAnsi="Arial"/>
          <w:b/>
          <w:color w:val="000000"/>
          <w:sz w:val="16"/>
        </w:rPr>
        <w:t>Segment Overview</w:t>
      </w:r>
    </w:p>
    <w:p>
      <w:pPr>
        <w:pStyle w:val="TextBody"/>
        <w:bidi w:val="0"/>
        <w:spacing w:before="120" w:after="283"/>
        <w:jc w:val="both"/>
        <w:rPr>
          <w:rFonts w:ascii="Arial" w:hAnsi="Arial"/>
          <w:color w:val="000000"/>
          <w:sz w:val="16"/>
        </w:rPr>
      </w:pPr>
      <w:r>
        <w:rPr>
          <w:rFonts w:ascii="Arial" w:hAnsi="Arial"/>
          <w:color w:val="000000"/>
          <w:sz w:val="16"/>
        </w:rPr>
        <w:t>Following is a discussion and analysis of the revenue and profitability performance of UNIFI’s reportable segments for the current six-month period.</w:t>
      </w:r>
    </w:p>
    <w:p>
      <w:pPr>
        <w:pStyle w:val="TextBody"/>
        <w:bidi w:val="0"/>
        <w:spacing w:before="360" w:after="283"/>
        <w:jc w:val="both"/>
        <w:rPr>
          <w:rFonts w:ascii="Arial" w:hAnsi="Arial"/>
          <w:b/>
          <w:i/>
          <w:color w:val="000000"/>
          <w:sz w:val="16"/>
        </w:rPr>
      </w:pPr>
      <w:r>
        <w:rPr>
          <w:rFonts w:ascii="Arial" w:hAnsi="Arial"/>
          <w:b/>
          <w:i/>
          <w:color w:val="000000"/>
          <w:sz w:val="16"/>
        </w:rPr>
        <w:t>Americas Segment</w:t>
      </w:r>
    </w:p>
    <w:p>
      <w:pPr>
        <w:pStyle w:val="TextBody"/>
        <w:bidi w:val="0"/>
        <w:spacing w:before="120" w:after="120"/>
        <w:jc w:val="both"/>
        <w:rPr>
          <w:rFonts w:ascii="Arial" w:hAnsi="Arial"/>
          <w:color w:val="000000"/>
          <w:sz w:val="16"/>
        </w:rPr>
      </w:pPr>
      <w:r>
        <w:rPr>
          <w:rFonts w:ascii="Arial" w:hAnsi="Arial"/>
          <w:color w:val="000000"/>
          <w:sz w:val="16"/>
        </w:rPr>
        <w:t>The components of Segment Profit, each component as a percentage of net sales, and the percentage increase or decrease over the prior six-month period amounts for the Americas Segment, were as follows:</w:t>
      </w:r>
    </w:p>
    <w:tbl>
      <w:tblPr>
        <w:tblW w:w="8841" w:type="dxa"/>
        <w:jc w:val="left"/>
        <w:tblInd w:w="0" w:type="dxa"/>
        <w:tblLayout w:type="fixed"/>
        <w:tblCellMar>
          <w:top w:w="28" w:type="dxa"/>
          <w:left w:w="28" w:type="dxa"/>
          <w:bottom w:w="28" w:type="dxa"/>
          <w:right w:w="28" w:type="dxa"/>
        </w:tblCellMar>
      </w:tblPr>
      <w:tblGrid>
        <w:gridCol w:w="2881"/>
        <w:gridCol w:w="146"/>
        <w:gridCol w:w="196"/>
        <w:gridCol w:w="691"/>
        <w:gridCol w:w="256"/>
        <w:gridCol w:w="146"/>
        <w:gridCol w:w="186"/>
        <w:gridCol w:w="654"/>
        <w:gridCol w:w="166"/>
        <w:gridCol w:w="146"/>
        <w:gridCol w:w="196"/>
        <w:gridCol w:w="691"/>
        <w:gridCol w:w="256"/>
        <w:gridCol w:w="146"/>
        <w:gridCol w:w="186"/>
        <w:gridCol w:w="654"/>
        <w:gridCol w:w="166"/>
        <w:gridCol w:w="146"/>
        <w:gridCol w:w="160"/>
        <w:gridCol w:w="561"/>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162,429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169,378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164,540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101.3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177,296</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(2,111</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(7,918</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(73.3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9,822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10,744</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7,711</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172.9</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net sales as a percentage of</w:t>
              <w:br/>
              <w:t>  consolidated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63.2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as a percentage of</w:t>
              <w:br/>
              <w:t>  consolidated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Arial" w:hAnsi="Arial"/>
          <w:color w:val="000000"/>
          <w:sz w:val="16"/>
        </w:rPr>
      </w:pPr>
      <w:r>
        <w:rPr>
          <w:rFonts w:ascii="Arial" w:hAnsi="Arial"/>
          <w:color w:val="000000"/>
          <w:sz w:val="16"/>
        </w:rPr>
        <w:t>The change in net sales for the Americas Segment was as follows:</w:t>
      </w:r>
    </w:p>
    <w:tbl>
      <w:tblPr>
        <w:tblW w:w="4695" w:type="dxa"/>
        <w:jc w:val="left"/>
        <w:tblInd w:w="0" w:type="dxa"/>
        <w:tblLayout w:type="fixed"/>
        <w:tblCellMar>
          <w:top w:w="28" w:type="dxa"/>
          <w:left w:w="28" w:type="dxa"/>
          <w:bottom w:w="28" w:type="dxa"/>
          <w:right w:w="28" w:type="dxa"/>
        </w:tblCellMar>
      </w:tblPr>
      <w:tblGrid>
        <w:gridCol w:w="3451"/>
        <w:gridCol w:w="146"/>
        <w:gridCol w:w="196"/>
        <w:gridCol w:w="69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prior six-month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169,378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average selling price and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(12,013</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5,064</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current six-month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162,429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net sales for the Americas Segment from the prior six-month period to the current six-month period was primarily attributable to a lower-priced sales mix which was partially offset by higher sales volumes.</w:t>
      </w:r>
    </w:p>
    <w:p>
      <w:pPr>
        <w:pStyle w:val="TextBody"/>
        <w:bidi w:val="0"/>
        <w:spacing w:before="240" w:after="120"/>
        <w:jc w:val="both"/>
        <w:rPr>
          <w:rFonts w:ascii="Arial" w:hAnsi="Arial"/>
          <w:color w:val="000000"/>
          <w:sz w:val="16"/>
        </w:rPr>
      </w:pPr>
      <w:r>
        <w:rPr>
          <w:rFonts w:ascii="Arial" w:hAnsi="Arial"/>
          <w:color w:val="000000"/>
          <w:sz w:val="16"/>
        </w:rPr>
        <w:t>The change in Segment Profit for the Americas Segment was as follows:</w:t>
      </w:r>
    </w:p>
    <w:tbl>
      <w:tblPr>
        <w:tblW w:w="4675" w:type="dxa"/>
        <w:jc w:val="left"/>
        <w:tblInd w:w="0" w:type="dxa"/>
        <w:tblLayout w:type="fixed"/>
        <w:tblCellMar>
          <w:top w:w="28" w:type="dxa"/>
          <w:left w:w="28" w:type="dxa"/>
          <w:bottom w:w="28" w:type="dxa"/>
          <w:right w:w="28" w:type="dxa"/>
        </w:tblCellMar>
      </w:tblPr>
      <w:tblGrid>
        <w:gridCol w:w="3631"/>
        <w:gridCol w:w="146"/>
        <w:gridCol w:w="196"/>
        <w:gridCol w:w="511"/>
        <w:gridCol w:w="1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prior six-month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2,826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underlying unit margins and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current six-month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7,711</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increase in Segment Profit for the Americas Segment from the prior six-month period to the current six-month period was primarily attributable to overall cost-saving initiatives, including reductions in manufacturing costs from the consolidation of Americas yarn manufacturing operations and the Fiscal 2026 Profit Improvement Plan.</w:t>
      </w:r>
    </w:p>
    <w:p>
      <w:pPr>
        <w:pStyle w:val="TextBody"/>
        <w:bidi w:val="0"/>
        <w:spacing w:before="360" w:after="283"/>
        <w:jc w:val="both"/>
        <w:rPr>
          <w:rFonts w:ascii="Arial" w:hAnsi="Arial"/>
          <w:b/>
          <w:i/>
          <w:color w:val="000000"/>
          <w:sz w:val="16"/>
        </w:rPr>
      </w:pPr>
      <w:r>
        <w:rPr>
          <w:rFonts w:ascii="Arial" w:hAnsi="Arial"/>
          <w:b/>
          <w:i/>
          <w:color w:val="000000"/>
          <w:sz w:val="16"/>
        </w:rPr>
        <w:t>Brazil Segment</w:t>
      </w:r>
    </w:p>
    <w:p>
      <w:pPr>
        <w:pStyle w:val="TextBody"/>
        <w:bidi w:val="0"/>
        <w:spacing w:before="120" w:after="120"/>
        <w:jc w:val="both"/>
        <w:rPr>
          <w:rFonts w:ascii="Arial" w:hAnsi="Arial"/>
          <w:color w:val="000000"/>
          <w:sz w:val="16"/>
        </w:rPr>
      </w:pPr>
      <w:r>
        <w:rPr>
          <w:rFonts w:ascii="Arial" w:hAnsi="Arial"/>
          <w:color w:val="000000"/>
          <w:sz w:val="16"/>
        </w:rPr>
        <w:t>The components of Segment Profit, each component as a percentage of net sales, and the percentage increase or decrease over the prior six-month period amounts for the Brazil Segment, were as follows:</w:t>
      </w:r>
    </w:p>
    <w:tbl>
      <w:tblPr>
        <w:tblW w:w="8621" w:type="dxa"/>
        <w:jc w:val="left"/>
        <w:tblInd w:w="0" w:type="dxa"/>
        <w:tblLayout w:type="fixed"/>
        <w:tblCellMar>
          <w:top w:w="28" w:type="dxa"/>
          <w:left w:w="28" w:type="dxa"/>
          <w:bottom w:w="28" w:type="dxa"/>
          <w:right w:w="28" w:type="dxa"/>
        </w:tblCellMar>
      </w:tblPr>
      <w:tblGrid>
        <w:gridCol w:w="2881"/>
        <w:gridCol w:w="146"/>
        <w:gridCol w:w="196"/>
        <w:gridCol w:w="601"/>
        <w:gridCol w:w="256"/>
        <w:gridCol w:w="146"/>
        <w:gridCol w:w="186"/>
        <w:gridCol w:w="654"/>
        <w:gridCol w:w="146"/>
        <w:gridCol w:w="146"/>
        <w:gridCol w:w="196"/>
        <w:gridCol w:w="601"/>
        <w:gridCol w:w="256"/>
        <w:gridCol w:w="146"/>
        <w:gridCol w:w="186"/>
        <w:gridCol w:w="654"/>
        <w:gridCol w:w="146"/>
        <w:gridCol w:w="146"/>
        <w:gridCol w:w="167"/>
        <w:gridCol w:w="554"/>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52,089</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(15.7</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48,372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50,069</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11,723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(68.3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1,483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1,343</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13,066</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net sales as a percentage of</w:t>
              <w:br/>
              <w:t>  consolidated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20.3</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21.6</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as a percentage of</w:t>
              <w:br/>
              <w:t>  consolidated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59.1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20"/>
        <w:jc w:val="both"/>
        <w:rPr>
          <w:rFonts w:ascii="Arial" w:hAnsi="Arial"/>
          <w:color w:val="000000"/>
          <w:sz w:val="16"/>
        </w:rPr>
      </w:pPr>
      <w:r>
        <w:rPr>
          <w:rFonts w:ascii="Arial" w:hAnsi="Arial"/>
          <w:color w:val="000000"/>
          <w:sz w:val="16"/>
        </w:rPr>
        <w:t>The change in net sales for the Brazil Segment was as follows:</w:t>
      </w:r>
    </w:p>
    <w:tbl>
      <w:tblPr>
        <w:tblW w:w="5355" w:type="dxa"/>
        <w:jc w:val="left"/>
        <w:tblInd w:w="0" w:type="dxa"/>
        <w:tblLayout w:type="fixed"/>
        <w:tblCellMar>
          <w:top w:w="28" w:type="dxa"/>
          <w:left w:w="28" w:type="dxa"/>
          <w:bottom w:w="28" w:type="dxa"/>
          <w:right w:w="28" w:type="dxa"/>
        </w:tblCellMar>
      </w:tblPr>
      <w:tblGrid>
        <w:gridCol w:w="4201"/>
        <w:gridCol w:w="146"/>
        <w:gridCol w:w="196"/>
        <w:gridCol w:w="601"/>
        <w:gridCol w:w="211"/>
      </w:tblGrid>
      <w:tr>
        <w:trPr/>
        <w:tc>
          <w:tcPr>
            <w:tcW w:w="4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prior six-month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61,792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average selling price and change in sales mix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(7,165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(5,281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2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2,743</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current six-month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52,089</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net sales for the Brazil Segment from the prior six-month period to the current six-month period was primarily attributable to (i) lower selling prices associated with competitive pricing pressures and (ii) lower sales volumes due to market conditions, partially offset by favorable foreign currency translation effects from the strengthening of the BRL versus the USD.</w:t>
      </w:r>
    </w:p>
    <w:p>
      <w:pPr>
        <w:pStyle w:val="TextBody"/>
        <w:bidi w:val="0"/>
        <w:spacing w:before="240" w:after="120"/>
        <w:jc w:val="both"/>
        <w:rPr>
          <w:rFonts w:ascii="Arial" w:hAnsi="Arial"/>
          <w:color w:val="000000"/>
          <w:sz w:val="16"/>
        </w:rPr>
      </w:pPr>
      <w:r>
        <w:rPr>
          <w:rFonts w:ascii="Arial" w:hAnsi="Arial"/>
          <w:color w:val="000000"/>
          <w:sz w:val="16"/>
        </w:rPr>
        <w:t>The change in Segment Profit for the Brazil Segment was as follows:</w:t>
      </w:r>
    </w:p>
    <w:tbl>
      <w:tblPr>
        <w:tblW w:w="4680" w:type="dxa"/>
        <w:jc w:val="left"/>
        <w:tblInd w:w="0" w:type="dxa"/>
        <w:tblLayout w:type="fixed"/>
        <w:tblCellMar>
          <w:top w:w="28" w:type="dxa"/>
          <w:left w:w="28" w:type="dxa"/>
          <w:bottom w:w="28" w:type="dxa"/>
          <w:right w:w="28" w:type="dxa"/>
        </w:tblCellMar>
      </w:tblPr>
      <w:tblGrid>
        <w:gridCol w:w="3526"/>
        <w:gridCol w:w="146"/>
        <w:gridCol w:w="196"/>
        <w:gridCol w:w="601"/>
        <w:gridCol w:w="21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prior six-month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13,066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underlying unit margins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(7,234</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(1,108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476</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current six-month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5,200</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Segment Profit for the Brazil Segment from the prior six-month period to the current six-month period was primarily attributable to (i) lower conversion margins primarily due to sales mix and pricing pressures and (ii) a decrease in sales volumes discussed above, partially offset by favorable foreign currency translation effects from the strengthening of the BRL versus the USD. We continue to prioritize innovation and differentiation to improve our portfolio and competitive position in Brazil.</w:t>
      </w:r>
    </w:p>
    <w:p>
      <w:pPr>
        <w:pStyle w:val="TextBody"/>
        <w:bidi w:val="0"/>
        <w:spacing w:before="360" w:after="283"/>
        <w:jc w:val="both"/>
        <w:rPr>
          <w:rFonts w:ascii="Arial" w:hAnsi="Arial"/>
          <w:b/>
          <w:i/>
          <w:color w:val="000000"/>
          <w:sz w:val="16"/>
        </w:rPr>
      </w:pPr>
      <w:r>
        <w:rPr>
          <w:rFonts w:ascii="Arial" w:hAnsi="Arial"/>
          <w:b/>
          <w:i/>
          <w:color w:val="000000"/>
          <w:sz w:val="16"/>
        </w:rPr>
        <w:t>Asia Segment</w:t>
      </w:r>
    </w:p>
    <w:p>
      <w:pPr>
        <w:pStyle w:val="TextBody"/>
        <w:bidi w:val="0"/>
        <w:spacing w:before="120" w:after="120"/>
        <w:jc w:val="both"/>
        <w:rPr>
          <w:rFonts w:ascii="Arial" w:hAnsi="Arial"/>
          <w:color w:val="000000"/>
          <w:sz w:val="16"/>
        </w:rPr>
      </w:pPr>
      <w:r>
        <w:rPr>
          <w:rFonts w:ascii="Arial" w:hAnsi="Arial"/>
          <w:color w:val="000000"/>
          <w:sz w:val="16"/>
        </w:rPr>
        <w:t>The components of Segment Profit, each component as a percentage of net sales, and the percentage increase or decrease over the prior six-month period amounts for the Asia Segment, were as follows:</w:t>
      </w:r>
    </w:p>
    <w:tbl>
      <w:tblPr>
        <w:tblW w:w="8621" w:type="dxa"/>
        <w:jc w:val="left"/>
        <w:tblInd w:w="0" w:type="dxa"/>
        <w:tblLayout w:type="fixed"/>
        <w:tblCellMar>
          <w:top w:w="28" w:type="dxa"/>
          <w:left w:w="28" w:type="dxa"/>
          <w:bottom w:w="28" w:type="dxa"/>
          <w:right w:w="28" w:type="dxa"/>
        </w:tblCellMar>
      </w:tblPr>
      <w:tblGrid>
        <w:gridCol w:w="2881"/>
        <w:gridCol w:w="146"/>
        <w:gridCol w:w="196"/>
        <w:gridCol w:w="601"/>
        <w:gridCol w:w="256"/>
        <w:gridCol w:w="146"/>
        <w:gridCol w:w="186"/>
        <w:gridCol w:w="654"/>
        <w:gridCol w:w="146"/>
        <w:gridCol w:w="146"/>
        <w:gridCol w:w="196"/>
        <w:gridCol w:w="601"/>
        <w:gridCol w:w="256"/>
        <w:gridCol w:w="146"/>
        <w:gridCol w:w="186"/>
        <w:gridCol w:w="654"/>
        <w:gridCol w:w="146"/>
        <w:gridCol w:w="146"/>
        <w:gridCol w:w="167"/>
        <w:gridCol w:w="554"/>
        <w:gridCol w:w="211"/>
      </w:tblGrid>
      <w:tr>
        <w:trPr/>
        <w:tc>
          <w:tcPr>
            <w:tcW w:w="28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70"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 of</w:t>
              <w:br/>
              <w:t>Net Sales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w:t>
              <w:b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42,524</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55,082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37,132</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87.3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48,895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88.8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(24.1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5,392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6,187</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27</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31</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5,419</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6,218</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net sales as a percentage of</w:t>
              <w:br/>
              <w:t>  consolidated amounts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19.2</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8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as a percentage of</w:t>
              <w:br/>
              <w:t>  consolidated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28.1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120"/>
        <w:jc w:val="both"/>
        <w:rPr>
          <w:rFonts w:ascii="Arial" w:hAnsi="Arial"/>
          <w:color w:val="000000"/>
          <w:sz w:val="16"/>
        </w:rPr>
      </w:pPr>
      <w:r>
        <w:rPr>
          <w:rFonts w:ascii="Arial" w:hAnsi="Arial"/>
          <w:color w:val="000000"/>
          <w:sz w:val="16"/>
        </w:rPr>
        <w:t>The change in net sales for the Asia Segment was as follows:</w:t>
      </w:r>
    </w:p>
    <w:tbl>
      <w:tblPr>
        <w:tblW w:w="4665" w:type="dxa"/>
        <w:jc w:val="left"/>
        <w:tblInd w:w="0" w:type="dxa"/>
        <w:tblLayout w:type="fixed"/>
        <w:tblCellMar>
          <w:top w:w="28" w:type="dxa"/>
          <w:left w:w="28" w:type="dxa"/>
          <w:bottom w:w="28" w:type="dxa"/>
          <w:right w:w="28" w:type="dxa"/>
        </w:tblCellMar>
      </w:tblPr>
      <w:tblGrid>
        <w:gridCol w:w="3451"/>
        <w:gridCol w:w="146"/>
        <w:gridCol w:w="196"/>
        <w:gridCol w:w="661"/>
        <w:gridCol w:w="211"/>
      </w:tblGrid>
      <w:tr>
        <w:trPr/>
        <w:tc>
          <w:tcPr>
            <w:tcW w:w="34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prior six-month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55,082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(12,736</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average selling price and sales mix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45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Favorable foreign currency translation effects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45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sales for the current six-month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42,524</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net sales for the Asia Segment from the prior six-month period to current six-month period was primarily attributable to (i) an overall decrease in sales volumes due to competitive pricing pressures and the continued volatility introduced by recent tariffs and (ii) a change in sales mix of REPREVE products.</w:t>
      </w:r>
    </w:p>
    <w:p>
      <w:pPr>
        <w:pStyle w:val="TextBody"/>
        <w:bidi w:val="0"/>
        <w:spacing w:before="240" w:after="120"/>
        <w:jc w:val="both"/>
        <w:rPr>
          <w:rFonts w:ascii="Arial" w:hAnsi="Arial"/>
          <w:color w:val="000000"/>
          <w:sz w:val="16"/>
        </w:rPr>
      </w:pPr>
      <w:r>
        <w:rPr>
          <w:rFonts w:ascii="Arial" w:hAnsi="Arial"/>
          <w:color w:val="000000"/>
          <w:sz w:val="16"/>
        </w:rPr>
        <w:t>The change in Segment Profit for the Asia Segment was as follows:</w:t>
      </w:r>
    </w:p>
    <w:tbl>
      <w:tblPr>
        <w:tblW w:w="4755" w:type="dxa"/>
        <w:jc w:val="left"/>
        <w:tblInd w:w="0" w:type="dxa"/>
        <w:tblLayout w:type="fixed"/>
        <w:tblCellMar>
          <w:top w:w="28" w:type="dxa"/>
          <w:left w:w="28" w:type="dxa"/>
          <w:bottom w:w="28" w:type="dxa"/>
          <w:right w:w="28" w:type="dxa"/>
        </w:tblCellMar>
      </w:tblPr>
      <w:tblGrid>
        <w:gridCol w:w="3631"/>
        <w:gridCol w:w="146"/>
        <w:gridCol w:w="196"/>
        <w:gridCol w:w="571"/>
        <w:gridCol w:w="21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prior six-month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6,218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Decrease in sales volumes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Change in underlying unit margins and sales mix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641</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Segment Profit for the current six-month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5,419</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Segment Profit for the Asia Segment from the prior six-month period to the current six-month period was primarily attributable to a decline in sales volumes as discussed above.</w:t>
      </w:r>
    </w:p>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16"/>
        </w:rPr>
      </w:pPr>
      <w:r>
        <w:rPr>
          <w:rFonts w:ascii="Arial" w:hAnsi="Arial"/>
          <w:b/>
          <w:color w:val="000000"/>
          <w:sz w:val="16"/>
        </w:rPr>
        <w:t>Liquidity and Capital Resources</w:t>
      </w:r>
    </w:p>
    <w:p>
      <w:pPr>
        <w:pStyle w:val="TextBody"/>
        <w:bidi w:val="0"/>
        <w:spacing w:before="120" w:after="283"/>
        <w:jc w:val="both"/>
        <w:rPr>
          <w:rFonts w:ascii="Arial" w:hAnsi="Arial"/>
          <w:color w:val="000000"/>
          <w:sz w:val="16"/>
        </w:rPr>
      </w:pPr>
      <w:r>
        <w:rPr>
          <w:rFonts w:ascii="Arial" w:hAnsi="Arial"/>
          <w:color w:val="000000"/>
          <w:sz w:val="16"/>
        </w:rPr>
        <w:t>Note 5, “Long-Term Debt” to the condensed consolidated financial statements includes the detail of UNIFI’s debt obligations and terms and conditions thereof. Further discussion and analysis of liquidity and capital resources follow.</w:t>
      </w:r>
    </w:p>
    <w:p>
      <w:pPr>
        <w:pStyle w:val="TextBody"/>
        <w:bidi w:val="0"/>
        <w:spacing w:before="240" w:after="283"/>
        <w:jc w:val="both"/>
        <w:rPr>
          <w:rFonts w:ascii="Arial" w:hAnsi="Arial"/>
          <w:color w:val="000000"/>
          <w:sz w:val="16"/>
        </w:rPr>
      </w:pPr>
      <w:r>
        <w:rPr>
          <w:rFonts w:ascii="Arial" w:hAnsi="Arial"/>
          <w:color w:val="000000"/>
          <w:sz w:val="16"/>
        </w:rPr>
        <w:t>On October 25, 2024, UNIFI entered into a new credit agreement with Wells Fargo Bank, National Association for a $25,000 revolving credit facility (the “2024 Facility”). The maturity date of the 2024 Facility is the earlier of (i) October 28, 2027 and (ii) the termination or refinancing of the 2022 Credit Agreement. The 2024 Facility is deemed unsecured financing for UNIFI, but is collateralized by certain assets pledged by related party Kenneth G. Langone, one of the members of UNIFI's Board of Directors. Borrowings under the 2024 Facility bear interest at a rate of SOFR plus 0.90%. The 2024 Facility contains no additional financial covenants beyond those already in effect for the 2022 Credit Agreement and is subject to a monthly unused line fee of 0.25% on available borrowing capacity. In the third quarter of fiscal 2025, UNIFI borrowed $22,000 against the 2024 Facility and used the proceeds to reduce the outstanding ABL Revolver balance. There was no impact to debt principal from these transactions.</w:t>
      </w:r>
    </w:p>
    <w:p>
      <w:pPr>
        <w:pStyle w:val="TextBody"/>
        <w:bidi w:val="0"/>
        <w:spacing w:before="240" w:after="283"/>
        <w:jc w:val="both"/>
        <w:rPr>
          <w:rFonts w:ascii="Arial" w:hAnsi="Arial"/>
          <w:color w:val="000000"/>
          <w:sz w:val="16"/>
        </w:rPr>
      </w:pPr>
      <w:r>
        <w:rPr>
          <w:rFonts w:ascii="Arial" w:hAnsi="Arial"/>
          <w:color w:val="000000"/>
          <w:sz w:val="16"/>
        </w:rPr>
        <w:t>UNIFI’s primary capital requirements are for working capital, capital expenditures, and debt service. UNIFI’s primary sources of capital are cash generated from operations and borrowings available under the 2022 Credit Agreement and the 2024 Facility. For the current six-month period, cash provided by operations was $16,362 and, at December 28, 2025, availability under the ABL Revolver and 2024 Facility was $34,329 and $583, respectively.</w:t>
      </w:r>
    </w:p>
    <w:p>
      <w:pPr>
        <w:pStyle w:val="TextBody"/>
        <w:bidi w:val="0"/>
        <w:spacing w:before="240" w:after="283"/>
        <w:jc w:val="both"/>
        <w:rPr>
          <w:rFonts w:ascii="Arial" w:hAnsi="Arial"/>
          <w:color w:val="000000"/>
          <w:sz w:val="16"/>
        </w:rPr>
      </w:pPr>
      <w:r>
        <w:rPr>
          <w:rFonts w:ascii="Arial" w:hAnsi="Arial"/>
          <w:color w:val="000000"/>
          <w:sz w:val="16"/>
        </w:rPr>
        <w:t>As of December 28, 2025, all of UNIFI’s $105,405 of debt obligations were guaranteed by certain of its domestic operating subsidiaries, while nearly all of UNIFI’s cash and cash equivalents were held by its foreign subsidiaries. Cash and cash equivalents held by foreign subsidiaries may not be presently available to fund UNIFI’s domestic capital requirements, including its domestic debt obligations. UNIFI employs a variety of strategies to ensure that its worldwide cash is available in the locations where it is needed.</w:t>
      </w:r>
    </w:p>
    <w:p>
      <w:pPr>
        <w:pStyle w:val="TextBody"/>
        <w:bidi w:val="0"/>
        <w:spacing w:before="240" w:after="120"/>
        <w:jc w:val="both"/>
        <w:rPr>
          <w:rFonts w:ascii="Arial" w:hAnsi="Arial"/>
          <w:color w:val="000000"/>
          <w:sz w:val="16"/>
        </w:rPr>
      </w:pPr>
      <w:r>
        <w:rPr>
          <w:rFonts w:ascii="Arial" w:hAnsi="Arial"/>
          <w:color w:val="000000"/>
          <w:sz w:val="16"/>
        </w:rPr>
        <w:t>The following table presents a summary of cash and cash equivalents, borrowings available under financing arrangements, liquidity, working capital, and total debt obligations as of December 28, 2025 for domestic operations compared to foreign operations:</w:t>
      </w:r>
    </w:p>
    <w:tbl>
      <w:tblPr>
        <w:tblW w:w="8018" w:type="dxa"/>
        <w:jc w:val="left"/>
        <w:tblInd w:w="0" w:type="dxa"/>
        <w:tblLayout w:type="fixed"/>
        <w:tblCellMar>
          <w:top w:w="28" w:type="dxa"/>
          <w:left w:w="28" w:type="dxa"/>
          <w:bottom w:w="28" w:type="dxa"/>
          <w:right w:w="28" w:type="dxa"/>
        </w:tblCellMar>
      </w:tblPr>
      <w:tblGrid>
        <w:gridCol w:w="4486"/>
        <w:gridCol w:w="146"/>
        <w:gridCol w:w="196"/>
        <w:gridCol w:w="691"/>
        <w:gridCol w:w="166"/>
        <w:gridCol w:w="146"/>
        <w:gridCol w:w="196"/>
        <w:gridCol w:w="601"/>
        <w:gridCol w:w="146"/>
        <w:gridCol w:w="146"/>
        <w:gridCol w:w="196"/>
        <w:gridCol w:w="691"/>
        <w:gridCol w:w="211"/>
      </w:tblGrid>
      <w:tr>
        <w:trPr/>
        <w:tc>
          <w:tcPr>
            <w:tcW w:w="4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Domestic</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Foreign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30,192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Potential borrowings available under financing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34,912</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Trigger level under ABL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(16,500</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Available Liquidity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18,441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30,163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48,604</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48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51,585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97,644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149,229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8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debt obligations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0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105,405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Borrowings available under financing arrangements are generally collateralized by receivables and inventory owned in the U.S., plus cash equivalents pledged by Mr. Langone, and generally constrained by the fixed charge coverage ratio and trigger level prescribed in the 2022 Credit Agreement. Accordingly, “Available Liquidity” includes consideration for the trigger level that currently constrains our borrowing ability until a fixed charge coverage ratio of 1.05 to 1.00 is achieved. UNIFI’s primary cash requirements, in addition to normal course operating activities (e.g., working capital and payroll), primarily include (i) capital expenditures that generally have commitments of up to 12 months, (ii) contractual obligations that support normal course ongoing operations and production, (iii) operating leases and finance leases, (iv) debt service, and (v) share repurchases.</w:t>
      </w:r>
    </w:p>
    <w:p>
      <w:pPr>
        <w:pStyle w:val="TextBody"/>
        <w:bidi w:val="0"/>
        <w:spacing w:before="360" w:after="283"/>
        <w:jc w:val="both"/>
        <w:rPr>
          <w:rFonts w:ascii="Arial" w:hAnsi="Arial"/>
          <w:i/>
          <w:color w:val="000000"/>
          <w:sz w:val="16"/>
        </w:rPr>
      </w:pPr>
      <w:r>
        <w:rPr>
          <w:rFonts w:ascii="Arial" w:hAnsi="Arial"/>
          <w:i/>
          <w:color w:val="000000"/>
          <w:sz w:val="16"/>
        </w:rPr>
        <w:t>Liquidity Considerations</w:t>
      </w:r>
    </w:p>
    <w:p>
      <w:pPr>
        <w:pStyle w:val="TextBody"/>
        <w:bidi w:val="0"/>
        <w:spacing w:before="120" w:after="283"/>
        <w:jc w:val="both"/>
        <w:rPr>
          <w:rFonts w:ascii="Times New Roman" w:hAnsi="Times New Roman"/>
          <w:sz w:val="20"/>
        </w:rPr>
      </w:pPr>
      <w:r>
        <w:rPr>
          <w:rFonts w:ascii="Arial" w:hAnsi="Arial"/>
          <w:color w:val="000000"/>
          <w:sz w:val="16"/>
        </w:rPr>
        <w:t>Following the establishment of the 2024 Facility, UNIFI believes its global cash and liquidity positions are sufficient to sustain its operations and to meet its growth needs for the foreseeable future. Additionally, UNIFI considers opportunities to repatriate existing cash to reduce debt and preserve or enhance liquidity. However, further degradation in the macroeconomic environment could introduce additional liquidity risk and require UNIFI to limit cash outflows for discretionary activities while further utilizing available and additional forms of credit.</w:t>
      </w:r>
      <w:r>
        <w:rPr>
          <w:rFonts w:ascii="Times New Roman" w:hAnsi="Times New Roman"/>
          <w:color w:val="000000"/>
          <w:sz w:val="20"/>
        </w:rPr>
        <w:t xml:space="preserve"> </w:t>
      </w:r>
    </w:p>
    <w:p>
      <w:pPr>
        <w:pStyle w:val="TextBody"/>
        <w:bidi w:val="0"/>
        <w:spacing w:before="240" w:after="283"/>
        <w:jc w:val="both"/>
        <w:rPr>
          <w:rFonts w:ascii="Arial" w:hAnsi="Arial"/>
          <w:color w:val="000000"/>
          <w:sz w:val="16"/>
        </w:rPr>
      </w:pPr>
      <w:r>
        <w:rPr>
          <w:rFonts w:ascii="Arial" w:hAnsi="Arial"/>
          <w:color w:val="000000"/>
          <w:sz w:val="16"/>
        </w:rPr>
        <w:t>We feel that our current liquidity position is sufficient to fund our operations and expected business growth. Should global demand, economic activity, or input availability decline considerably for an even longer period of time, UNIFI maintains the ability to (i) seek additional credit or financing arrangements and/or (ii) re-implement cost reduction initiatives to preserve cash and secure the longevity of the business and operations. Management continues to (i) explore cost savings opportunities and (ii) prioritize repayment of debt in the current operating environment.</w:t>
      </w:r>
    </w:p>
    <w:p>
      <w:pPr>
        <w:pStyle w:val="TextBody"/>
        <w:bidi w:val="0"/>
        <w:spacing w:before="240" w:after="283"/>
        <w:jc w:val="both"/>
        <w:rPr>
          <w:rFonts w:ascii="Times New Roman" w:hAnsi="Times New Roman"/>
          <w:sz w:val="20"/>
        </w:rPr>
      </w:pPr>
      <w:r>
        <w:rPr>
          <w:rFonts w:ascii="Arial" w:hAnsi="Arial"/>
          <w:color w:val="000000"/>
          <w:sz w:val="16"/>
        </w:rPr>
        <w:t>When business levels increase, we expect to use cash in support of working capital needs.</w:t>
      </w:r>
      <w:r>
        <w:rPr>
          <w:rFonts w:ascii="Times New Roman" w:hAnsi="Times New Roman"/>
          <w:color w:val="000000"/>
          <w:sz w:val="20"/>
        </w:rPr>
        <w:t xml:space="preserve"> </w:t>
      </w:r>
    </w:p>
    <w:p>
      <w:pPr>
        <w:pStyle w:val="TextBody"/>
        <w:bidi w:val="0"/>
        <w:spacing w:before="240" w:after="283"/>
        <w:jc w:val="both"/>
        <w:rPr>
          <w:rFonts w:ascii="Arial" w:hAnsi="Arial"/>
          <w:color w:val="000000"/>
          <w:sz w:val="16"/>
        </w:rPr>
      </w:pPr>
      <w:r>
        <w:rPr>
          <w:rFonts w:ascii="Arial" w:hAnsi="Arial"/>
          <w:color w:val="000000"/>
          <w:sz w:val="16"/>
        </w:rPr>
        <w:t>The following outlines the attributes relating to our credit facilities as of December 28, 2025:</w:t>
      </w:r>
    </w:p>
    <w:p>
      <w:pPr>
        <w:pStyle w:val="TextBody"/>
        <w:bidi w:val="0"/>
        <w:spacing w:before="120" w:after="283"/>
        <w:jc w:val="both"/>
        <w:rPr>
          <w:color w:val="000000"/>
        </w:rPr>
      </w:pPr>
      <w:r>
        <w:rPr>
          <w:color w:val="000000"/>
        </w:rPr>
        <w:t>•</w:t>
      </w:r>
    </w:p>
    <w:p>
      <w:pPr>
        <w:pStyle w:val="TextBody"/>
        <w:bidi w:val="0"/>
        <w:spacing w:before="120" w:after="283"/>
        <w:jc w:val="both"/>
        <w:rPr>
          <w:rFonts w:ascii="Arial" w:hAnsi="Arial"/>
          <w:color w:val="000000"/>
          <w:sz w:val="16"/>
        </w:rPr>
      </w:pPr>
      <w:r>
        <w:rPr>
          <w:rFonts w:ascii="Arial" w:hAnsi="Arial"/>
          <w:color w:val="000000"/>
          <w:sz w:val="16"/>
        </w:rPr>
        <w:t>UNIFI was in compliance with all applicable financial covenants in the 2022 Credit Agreement and 2024 Facility;</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6"/>
        </w:rPr>
      </w:pPr>
      <w:r>
        <w:rPr>
          <w:rFonts w:ascii="Arial" w:hAnsi="Arial"/>
          <w:color w:val="000000"/>
          <w:sz w:val="16"/>
        </w:rPr>
        <w:t>availability under the 2024 Facility was $583 as of December 28, 2025;</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6"/>
        </w:rPr>
      </w:pPr>
      <w:r>
        <w:rPr>
          <w:rFonts w:ascii="Arial" w:hAnsi="Arial"/>
          <w:color w:val="000000"/>
          <w:sz w:val="16"/>
        </w:rPr>
        <w:t>availability exceeding the Trigger Level (as defined in the 2022 Credit Agreement) under the ABL Revolver was $17,829;</w:t>
      </w:r>
    </w:p>
    <w:p>
      <w:pPr>
        <w:pStyle w:val="TextBody"/>
        <w:bidi w:val="0"/>
        <w:spacing w:before="0" w:after="0"/>
        <w:jc w:val="both"/>
        <w:rPr>
          <w:color w:val="000000"/>
        </w:rPr>
      </w:pPr>
      <w:r>
        <w:rPr>
          <w:color w:val="000000"/>
        </w:rPr>
        <w:t>•</w:t>
      </w:r>
    </w:p>
    <w:p>
      <w:pPr>
        <w:pStyle w:val="TextBody"/>
        <w:bidi w:val="0"/>
        <w:spacing w:before="0" w:after="0"/>
        <w:jc w:val="both"/>
        <w:rPr>
          <w:rFonts w:ascii="Arial" w:hAnsi="Arial"/>
          <w:color w:val="000000"/>
          <w:sz w:val="16"/>
        </w:rPr>
      </w:pPr>
      <w:r>
        <w:rPr>
          <w:rFonts w:ascii="Arial" w:hAnsi="Arial"/>
          <w:color w:val="000000"/>
          <w:sz w:val="16"/>
        </w:rPr>
        <w:t>the Trigger Level under the ABL Revolver was $16,500; and</w:t>
      </w:r>
    </w:p>
    <w:p>
      <w:pPr>
        <w:pStyle w:val="TextBody"/>
        <w:bidi w:val="0"/>
        <w:spacing w:before="0" w:after="0"/>
        <w:jc w:val="both"/>
        <w:rPr>
          <w:color w:val="000000"/>
        </w:rPr>
      </w:pPr>
      <w:r>
        <w:rPr>
          <w:color w:val="000000"/>
        </w:rPr>
        <w:t>•</w:t>
      </w:r>
    </w:p>
    <w:p>
      <w:pPr>
        <w:pStyle w:val="TextBody"/>
        <w:bidi w:val="0"/>
        <w:jc w:val="both"/>
        <w:rPr>
          <w:rFonts w:ascii="Arial" w:hAnsi="Arial"/>
          <w:color w:val="000000"/>
          <w:sz w:val="16"/>
        </w:rPr>
      </w:pPr>
      <w:r>
        <w:rPr>
          <w:rFonts w:ascii="Arial" w:hAnsi="Arial"/>
          <w:color w:val="000000"/>
          <w:sz w:val="16"/>
        </w:rPr>
        <w:t>$0 of standby letters of credit were outstanding.</w:t>
      </w:r>
    </w:p>
    <w:p>
      <w:pPr>
        <w:pStyle w:val="TextBody"/>
        <w:bidi w:val="0"/>
        <w:spacing w:before="240" w:after="283"/>
        <w:jc w:val="both"/>
        <w:rPr>
          <w:rFonts w:ascii="Arial" w:hAnsi="Arial"/>
          <w:color w:val="000000"/>
          <w:sz w:val="16"/>
        </w:rPr>
      </w:pPr>
      <w:r>
        <w:rPr>
          <w:rFonts w:ascii="Arial" w:hAnsi="Arial"/>
          <w:color w:val="000000"/>
          <w:sz w:val="16"/>
        </w:rPr>
        <w:t>In addition to making payments in accordance with the scheduled maturities of debt required under its existing debt obligations, UNIFI may, from time to time, elect to repay additional amounts borrowed under the ABL Facility. Funds to make such repayments may come from the operating cash flows of the business or other sources and will depend upon UNIFI’s strategy, prevailing market conditions, liquidity requirements, contractual restrictions within the 2022 Credit Agreement, and other factors.</w:t>
      </w:r>
    </w:p>
    <w:p>
      <w:pPr>
        <w:pStyle w:val="TextBody"/>
        <w:bidi w:val="0"/>
        <w:spacing w:before="240" w:after="283"/>
        <w:jc w:val="center"/>
        <w:rPr>
          <w:rFonts w:ascii="Arial" w:hAnsi="Arial"/>
          <w:color w:val="000000"/>
          <w:sz w:val="16"/>
        </w:rPr>
      </w:pPr>
      <w:r>
        <w:rPr>
          <w:rFonts w:ascii="Arial" w:hAnsi="Arial"/>
          <w:color w:val="000000"/>
          <w:sz w:val="16"/>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i/>
          <w:color w:val="000000"/>
          <w:sz w:val="16"/>
        </w:rPr>
      </w:pPr>
      <w:r>
        <w:rPr>
          <w:rFonts w:ascii="Arial" w:hAnsi="Arial"/>
          <w:b/>
          <w:i/>
          <w:color w:val="000000"/>
          <w:sz w:val="16"/>
        </w:rPr>
        <w:t>Liquidity Summary</w:t>
      </w:r>
    </w:p>
    <w:p>
      <w:pPr>
        <w:pStyle w:val="TextBody"/>
        <w:bidi w:val="0"/>
        <w:spacing w:before="120" w:after="283"/>
        <w:jc w:val="both"/>
        <w:rPr>
          <w:rFonts w:ascii="Arial" w:hAnsi="Arial"/>
          <w:color w:val="000000"/>
          <w:sz w:val="16"/>
        </w:rPr>
      </w:pPr>
      <w:r>
        <w:rPr>
          <w:rFonts w:ascii="Arial" w:hAnsi="Arial"/>
          <w:color w:val="000000"/>
          <w:sz w:val="16"/>
        </w:rPr>
        <w:t>UNIFI has met its historical liquidity requirements for working capital, capital expenditures, debt service requirements, and other operating needs from its cash flows from operations and available borrowings. UNIFI believes that its existing cash balances, expected cash provided by operating activities, and credit facilities will enable UNIFI to meet its foreseeable liquidity requirements. For its foreign operations, UNIFI expects its existing cash balances, cash provided by operating activities, and available financing arrangements will provide the needed liquidity to fund the associated operating activities and investing activities, such as future capital expenditures. UNIFI believes its operations in Asia and Brazil are in a position to obtain local country financing arrangements due to the operating results of each subsidiary.</w:t>
      </w:r>
    </w:p>
    <w:p>
      <w:pPr>
        <w:pStyle w:val="TextBody"/>
        <w:bidi w:val="0"/>
        <w:spacing w:before="120" w:after="283"/>
        <w:jc w:val="both"/>
        <w:rPr/>
      </w:pPr>
      <w:r>
        <w:rPr/>
        <w:t> </w:t>
      </w:r>
    </w:p>
    <w:p>
      <w:pPr>
        <w:pStyle w:val="TextBody"/>
        <w:bidi w:val="0"/>
        <w:spacing w:before="120" w:after="283"/>
        <w:jc w:val="both"/>
        <w:rPr>
          <w:rFonts w:ascii="Arial" w:hAnsi="Arial"/>
          <w:i/>
          <w:color w:val="000000"/>
          <w:sz w:val="16"/>
        </w:rPr>
      </w:pPr>
      <w:r>
        <w:rPr>
          <w:rFonts w:ascii="Arial" w:hAnsi="Arial"/>
          <w:i/>
          <w:color w:val="000000"/>
          <w:sz w:val="16"/>
        </w:rPr>
        <w:t>Net Debt (Non-GAAP Financial Measure)</w:t>
      </w:r>
    </w:p>
    <w:p>
      <w:pPr>
        <w:pStyle w:val="TextBody"/>
        <w:bidi w:val="0"/>
        <w:spacing w:before="120" w:after="120"/>
        <w:jc w:val="both"/>
        <w:rPr>
          <w:rFonts w:ascii="Arial" w:hAnsi="Arial"/>
          <w:color w:val="000000"/>
          <w:sz w:val="16"/>
        </w:rPr>
      </w:pPr>
      <w:r>
        <w:rPr>
          <w:rFonts w:ascii="Arial" w:hAnsi="Arial"/>
          <w:color w:val="000000"/>
          <w:sz w:val="16"/>
        </w:rPr>
        <w:t>The reconciliations for Net Debt are as follows:</w:t>
      </w:r>
    </w:p>
    <w:tbl>
      <w:tblPr>
        <w:tblW w:w="5940" w:type="dxa"/>
        <w:jc w:val="left"/>
        <w:tblInd w:w="0" w:type="dxa"/>
        <w:tblLayout w:type="fixed"/>
        <w:tblCellMar>
          <w:top w:w="28" w:type="dxa"/>
          <w:left w:w="28" w:type="dxa"/>
          <w:bottom w:w="28" w:type="dxa"/>
          <w:right w:w="28" w:type="dxa"/>
        </w:tblCellMar>
      </w:tblPr>
      <w:tblGrid>
        <w:gridCol w:w="2566"/>
        <w:gridCol w:w="146"/>
        <w:gridCol w:w="348"/>
        <w:gridCol w:w="1227"/>
        <w:gridCol w:w="146"/>
        <w:gridCol w:w="146"/>
        <w:gridCol w:w="258"/>
        <w:gridCol w:w="912"/>
        <w:gridCol w:w="191"/>
      </w:tblGrid>
      <w:tr>
        <w:trPr/>
        <w:tc>
          <w:tcPr>
            <w:tcW w:w="2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92,601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95,727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Debt principal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105,405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108,008</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30,192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75,213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85,344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The decrease in Net Debt primarily reflects the generation of operating cash flows during fiscal 2026, aided by reduced levels of capital expenditures.</w:t>
      </w:r>
    </w:p>
    <w:p>
      <w:pPr>
        <w:pStyle w:val="TextBody"/>
        <w:bidi w:val="0"/>
        <w:spacing w:before="360" w:after="283"/>
        <w:jc w:val="both"/>
        <w:rPr>
          <w:rFonts w:ascii="Arial" w:hAnsi="Arial"/>
          <w:b/>
          <w:i/>
          <w:color w:val="000000"/>
          <w:sz w:val="16"/>
        </w:rPr>
      </w:pPr>
      <w:r>
        <w:rPr>
          <w:rFonts w:ascii="Arial" w:hAnsi="Arial"/>
          <w:b/>
          <w:i/>
          <w:color w:val="000000"/>
          <w:sz w:val="16"/>
        </w:rPr>
        <w:t>Working Capital and Adjusted Working Capital (Non-GAAP Financial Measure)</w:t>
      </w:r>
    </w:p>
    <w:p>
      <w:pPr>
        <w:pStyle w:val="TextBody"/>
        <w:bidi w:val="0"/>
        <w:spacing w:before="120" w:after="120"/>
        <w:jc w:val="both"/>
        <w:rPr>
          <w:rFonts w:ascii="Arial" w:hAnsi="Arial"/>
          <w:color w:val="000000"/>
          <w:sz w:val="16"/>
        </w:rPr>
      </w:pPr>
      <w:r>
        <w:rPr>
          <w:rFonts w:ascii="Arial" w:hAnsi="Arial"/>
          <w:color w:val="000000"/>
          <w:sz w:val="16"/>
        </w:rPr>
        <w:t>The following table presents the components of working capital and the reconciliation of working capital to Adjusted Working Capital:</w:t>
      </w:r>
    </w:p>
    <w:tbl>
      <w:tblPr>
        <w:tblW w:w="6555" w:type="dxa"/>
        <w:jc w:val="left"/>
        <w:tblInd w:w="0" w:type="dxa"/>
        <w:tblLayout w:type="fixed"/>
        <w:tblCellMar>
          <w:top w:w="28" w:type="dxa"/>
          <w:left w:w="28" w:type="dxa"/>
          <w:bottom w:w="28" w:type="dxa"/>
          <w:right w:w="28" w:type="dxa"/>
        </w:tblCellMar>
      </w:tblPr>
      <w:tblGrid>
        <w:gridCol w:w="2941"/>
        <w:gridCol w:w="146"/>
        <w:gridCol w:w="348"/>
        <w:gridCol w:w="1227"/>
        <w:gridCol w:w="166"/>
        <w:gridCol w:w="146"/>
        <w:gridCol w:w="258"/>
        <w:gridCol w:w="912"/>
        <w:gridCol w:w="41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June 29, 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Receivables,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57,970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75,383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103,085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122,929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6,609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9,222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(37,468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(18,899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Working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149,229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164,684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(30,192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(22,664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Income taxes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(5,429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Current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7"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2,368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12,708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Adjusted 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133,337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9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151,167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color w:val="000000"/>
          <w:sz w:val="16"/>
        </w:rPr>
      </w:pPr>
      <w:r>
        <w:rPr>
          <w:rFonts w:ascii="Arial" w:hAnsi="Arial"/>
          <w:color w:val="000000"/>
          <w:sz w:val="16"/>
        </w:rPr>
        <w:t>Adjusted Working Capital decreased $17,830 from June 29, 2025 to December 28, 2025.</w:t>
      </w:r>
    </w:p>
    <w:p>
      <w:pPr>
        <w:pStyle w:val="TextBody"/>
        <w:bidi w:val="0"/>
        <w:spacing w:before="240" w:after="283"/>
        <w:jc w:val="both"/>
        <w:rPr>
          <w:rFonts w:ascii="Arial" w:hAnsi="Arial"/>
          <w:color w:val="000000"/>
          <w:sz w:val="16"/>
        </w:rPr>
      </w:pPr>
      <w:r>
        <w:rPr>
          <w:rFonts w:ascii="Arial" w:hAnsi="Arial"/>
          <w:color w:val="000000"/>
          <w:sz w:val="16"/>
        </w:rPr>
        <w:t>The decrease in Adjusted Working Capital was primarily attributable to the decreases in (i) inventories due to lower units on hand, (ii) receivables, net due to lower sales and the timing of cash receipts, and (iii) other current assets primarily due to lower vendor deposits and value-added taxes receivable. These were partially offset by reductions in (a) accounts payable primarily due to lower production activity and variable cost-saving initiatives and (b) other current liabilities due primarily to the payment of incentive compensation earned in fiscal 2025.</w:t>
      </w:r>
    </w:p>
    <w:p>
      <w:pPr>
        <w:pStyle w:val="TextBody"/>
        <w:bidi w:val="0"/>
        <w:spacing w:before="240" w:after="283"/>
        <w:jc w:val="center"/>
        <w:rPr>
          <w:rFonts w:ascii="Arial" w:hAnsi="Arial"/>
          <w:color w:val="000000"/>
          <w:sz w:val="16"/>
        </w:rPr>
      </w:pPr>
      <w:r>
        <w:rPr>
          <w:rFonts w:ascii="Arial" w:hAnsi="Arial"/>
          <w:color w:val="000000"/>
          <w:sz w:val="16"/>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Arial" w:hAnsi="Arial"/>
          <w:b/>
          <w:color w:val="000000"/>
          <w:sz w:val="16"/>
        </w:rPr>
      </w:pPr>
      <w:r>
        <w:rPr>
          <w:rFonts w:ascii="Arial" w:hAnsi="Arial"/>
          <w:b/>
          <w:color w:val="000000"/>
          <w:sz w:val="16"/>
        </w:rPr>
        <w:t>Operating Cash Flows</w:t>
      </w:r>
    </w:p>
    <w:p>
      <w:pPr>
        <w:pStyle w:val="TextBody"/>
        <w:bidi w:val="0"/>
        <w:spacing w:before="120" w:after="120"/>
        <w:jc w:val="both"/>
        <w:rPr>
          <w:rFonts w:ascii="Arial" w:hAnsi="Arial"/>
          <w:color w:val="000000"/>
          <w:sz w:val="16"/>
        </w:rPr>
      </w:pPr>
      <w:r>
        <w:rPr>
          <w:rFonts w:ascii="Arial" w:hAnsi="Arial"/>
          <w:color w:val="000000"/>
          <w:sz w:val="16"/>
        </w:rPr>
        <w:t>The significant components of net cash provided (used) by operating activities are summarized below.</w:t>
      </w:r>
    </w:p>
    <w:tbl>
      <w:tblPr>
        <w:tblW w:w="7640" w:type="dxa"/>
        <w:jc w:val="left"/>
        <w:tblInd w:w="0" w:type="dxa"/>
        <w:tblLayout w:type="fixed"/>
        <w:tblCellMar>
          <w:top w:w="28" w:type="dxa"/>
          <w:left w:w="28" w:type="dxa"/>
          <w:bottom w:w="28" w:type="dxa"/>
          <w:right w:w="28" w:type="dxa"/>
        </w:tblCellMar>
      </w:tblPr>
      <w:tblGrid>
        <w:gridCol w:w="3601"/>
        <w:gridCol w:w="146"/>
        <w:gridCol w:w="360"/>
        <w:gridCol w:w="1215"/>
        <w:gridCol w:w="177"/>
        <w:gridCol w:w="155"/>
        <w:gridCol w:w="360"/>
        <w:gridCol w:w="1215"/>
        <w:gridCol w:w="411"/>
      </w:tblGrid>
      <w:tr>
        <w:trPr/>
        <w:tc>
          <w:tcPr>
            <w:tcW w:w="36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8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For the Six Months Ended</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28, 2025</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December 29, 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(21,063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(19,024</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Equity in loss of unconsolidated affiliate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251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Depreciation and amortization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11,925</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12,881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Non-cash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1,608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1,658</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Gain on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(308</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(4,296</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333</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628</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Subtotal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(7,456</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(7,902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Arial" w:hAnsi="Arial"/>
                <w:color w:val="000000"/>
                <w:sz w:val="16"/>
              </w:rPr>
            </w:pPr>
            <w:r>
              <w:rPr>
                <w:rFonts w:ascii="Arial" w:hAnsi="Arial"/>
                <w:color w:val="000000"/>
                <w:sz w:val="16"/>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Receivables,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17,540</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8,228</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19,965</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(4,841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Accounts payable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(21,203</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15"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(8,155</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1"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Other changes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7,516</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(2,334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36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Net cash provided (used)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16,362</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121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(15,004</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bl>
    <w:p>
      <w:pPr>
        <w:pStyle w:val="TextBody"/>
        <w:bidi w:val="0"/>
        <w:spacing w:before="160" w:after="283"/>
        <w:jc w:val="both"/>
        <w:rPr>
          <w:rFonts w:ascii="Arial" w:hAnsi="Arial"/>
          <w:color w:val="000000"/>
          <w:sz w:val="16"/>
        </w:rPr>
      </w:pPr>
      <w:r>
        <w:rPr>
          <w:rFonts w:ascii="Arial" w:hAnsi="Arial"/>
          <w:color w:val="000000"/>
          <w:sz w:val="16"/>
        </w:rPr>
        <w:t>The change in operating cash flows was primarily due to the reduction of working capital balances during the current six-month period compared to the prior six-month period.</w:t>
      </w:r>
    </w:p>
    <w:p>
      <w:pPr>
        <w:pStyle w:val="TextBody"/>
        <w:bidi w:val="0"/>
        <w:spacing w:before="240" w:after="283"/>
        <w:jc w:val="both"/>
        <w:rPr>
          <w:rFonts w:ascii="Arial" w:hAnsi="Arial"/>
          <w:color w:val="000000"/>
          <w:sz w:val="16"/>
        </w:rPr>
      </w:pPr>
      <w:r>
        <w:rPr>
          <w:rFonts w:ascii="Arial" w:hAnsi="Arial"/>
          <w:color w:val="000000"/>
          <w:sz w:val="16"/>
        </w:rPr>
        <w:t>For the current six-month period, the decreases in accounts receivable was largely driven by a decrease in sales and the timing of cash receipts. The decrease in inventories was driven by concerted efforts to reduce inventory levels in response to the lower demand environment. The decrease in accounts payable and other current liabilities was largely due to lower production activity, variable cost-saving initiatives, and the payment of incentive compensation liabilities. Other changes comprise mostly decreases in income tax receivables and other current assets due to the utilization of tax credits, an income tax refund, and lower vendor deposits in Brazil.</w:t>
      </w:r>
    </w:p>
    <w:p>
      <w:pPr>
        <w:pStyle w:val="TextBody"/>
        <w:bidi w:val="0"/>
        <w:spacing w:before="240" w:after="283"/>
        <w:jc w:val="both"/>
        <w:rPr>
          <w:rFonts w:ascii="Arial" w:hAnsi="Arial"/>
          <w:color w:val="000000"/>
          <w:sz w:val="16"/>
        </w:rPr>
      </w:pPr>
      <w:r>
        <w:rPr>
          <w:rFonts w:ascii="Arial" w:hAnsi="Arial"/>
          <w:color w:val="000000"/>
          <w:sz w:val="16"/>
        </w:rPr>
        <w:t>For the prior six-month period, the decreases in accounts payable and other current liabilities was primarily due to seasonally lower production activity which included scheduled holiday shutdown periods. Inventories increased primarily due to higher average unit costs. Other changes comprised mostly of higher vendor deposits and recoverable value added taxes (following the increased value of inventories). The decrease in accounts receivable was largely driven by the decrease in sales and timing of cash receipts.</w:t>
      </w:r>
    </w:p>
    <w:p>
      <w:pPr>
        <w:pStyle w:val="TextBody"/>
        <w:bidi w:val="0"/>
        <w:spacing w:before="360" w:after="283"/>
        <w:jc w:val="both"/>
        <w:rPr>
          <w:rFonts w:ascii="Arial" w:hAnsi="Arial"/>
          <w:b/>
          <w:color w:val="000000"/>
          <w:sz w:val="16"/>
        </w:rPr>
      </w:pPr>
      <w:r>
        <w:rPr>
          <w:rFonts w:ascii="Arial" w:hAnsi="Arial"/>
          <w:b/>
          <w:color w:val="000000"/>
          <w:sz w:val="16"/>
        </w:rPr>
        <w:t>Investing Cash Flows</w:t>
      </w:r>
    </w:p>
    <w:p>
      <w:pPr>
        <w:pStyle w:val="TextBody"/>
        <w:bidi w:val="0"/>
        <w:spacing w:before="120" w:after="283"/>
        <w:jc w:val="both"/>
        <w:rPr>
          <w:rFonts w:ascii="Arial" w:hAnsi="Arial"/>
          <w:color w:val="000000"/>
          <w:sz w:val="16"/>
        </w:rPr>
      </w:pPr>
      <w:r>
        <w:rPr>
          <w:rFonts w:ascii="Arial" w:hAnsi="Arial"/>
          <w:color w:val="000000"/>
          <w:sz w:val="16"/>
        </w:rPr>
        <w:t>Investing activities primarily include $3,084 for capital expenditures. UNIFI expects recent and future capital projects to provide benefits to future profitability. The additional assets from these capital projects consist primarily of machinery and equipment.</w:t>
      </w:r>
    </w:p>
    <w:p>
      <w:pPr>
        <w:pStyle w:val="TextBody"/>
        <w:bidi w:val="0"/>
        <w:spacing w:before="360" w:after="283"/>
        <w:jc w:val="both"/>
        <w:rPr>
          <w:rFonts w:ascii="Arial" w:hAnsi="Arial"/>
          <w:b/>
          <w:color w:val="000000"/>
          <w:sz w:val="16"/>
        </w:rPr>
      </w:pPr>
      <w:r>
        <w:rPr>
          <w:rFonts w:ascii="Arial" w:hAnsi="Arial"/>
          <w:b/>
          <w:color w:val="000000"/>
          <w:sz w:val="16"/>
        </w:rPr>
        <w:t>Financing Cash Flows</w:t>
      </w:r>
    </w:p>
    <w:p>
      <w:pPr>
        <w:pStyle w:val="TextBody"/>
        <w:bidi w:val="0"/>
        <w:spacing w:before="120" w:after="283"/>
        <w:jc w:val="both"/>
        <w:rPr>
          <w:rFonts w:ascii="Arial" w:hAnsi="Arial"/>
          <w:color w:val="000000"/>
          <w:sz w:val="16"/>
        </w:rPr>
      </w:pPr>
      <w:r>
        <w:rPr>
          <w:rFonts w:ascii="Arial" w:hAnsi="Arial"/>
          <w:color w:val="000000"/>
          <w:sz w:val="16"/>
        </w:rPr>
        <w:t>Financing activities primarily include principal payments on the ABL Term Loan and finance leases.</w:t>
      </w:r>
    </w:p>
    <w:p>
      <w:pPr>
        <w:pStyle w:val="TextBody"/>
        <w:bidi w:val="0"/>
        <w:spacing w:before="360" w:after="283"/>
        <w:jc w:val="both"/>
        <w:rPr>
          <w:rFonts w:ascii="Arial" w:hAnsi="Arial"/>
          <w:b/>
          <w:i/>
          <w:color w:val="000000"/>
          <w:sz w:val="16"/>
        </w:rPr>
      </w:pPr>
      <w:r>
        <w:rPr>
          <w:rFonts w:ascii="Arial" w:hAnsi="Arial"/>
          <w:b/>
          <w:i/>
          <w:color w:val="000000"/>
          <w:sz w:val="16"/>
        </w:rPr>
        <w:t>Share Repurchase Program</w:t>
      </w:r>
    </w:p>
    <w:p>
      <w:pPr>
        <w:pStyle w:val="TextBody"/>
        <w:bidi w:val="0"/>
        <w:spacing w:before="120" w:after="283"/>
        <w:jc w:val="both"/>
        <w:rPr>
          <w:rFonts w:ascii="Arial" w:hAnsi="Arial"/>
          <w:color w:val="000000"/>
          <w:sz w:val="16"/>
        </w:rPr>
      </w:pPr>
      <w:r>
        <w:rPr>
          <w:rFonts w:ascii="Arial" w:hAnsi="Arial"/>
          <w:color w:val="000000"/>
          <w:sz w:val="16"/>
        </w:rPr>
        <w:t>As described in Note 7, “Shareholders’ Equity,” no share repurchases have been completed in fiscal 2026.</w:t>
      </w:r>
    </w:p>
    <w:p>
      <w:pPr>
        <w:pStyle w:val="TextBody"/>
        <w:bidi w:val="0"/>
        <w:spacing w:before="360" w:after="283"/>
        <w:jc w:val="both"/>
        <w:rPr>
          <w:rFonts w:ascii="Arial" w:hAnsi="Arial"/>
          <w:b/>
          <w:color w:val="000000"/>
          <w:sz w:val="16"/>
        </w:rPr>
      </w:pPr>
      <w:r>
        <w:rPr>
          <w:rFonts w:ascii="Arial" w:hAnsi="Arial"/>
          <w:b/>
          <w:color w:val="000000"/>
          <w:sz w:val="16"/>
        </w:rPr>
        <w:t>Contractual Obligations</w:t>
      </w:r>
    </w:p>
    <w:p>
      <w:pPr>
        <w:pStyle w:val="TextBody"/>
        <w:bidi w:val="0"/>
        <w:spacing w:before="120" w:after="283"/>
        <w:jc w:val="both"/>
        <w:rPr>
          <w:rFonts w:ascii="Arial" w:hAnsi="Arial"/>
          <w:color w:val="000000"/>
          <w:sz w:val="16"/>
        </w:rPr>
      </w:pPr>
      <w:r>
        <w:rPr>
          <w:rFonts w:ascii="Arial" w:hAnsi="Arial"/>
          <w:color w:val="000000"/>
          <w:sz w:val="16"/>
        </w:rPr>
        <w:t>UNIFI incurs various financial obligations and commitments in the ordinary course of business. Financial obligations are considered to represent known future cash payments that UNIFI is required to make under existing contractual arrangements, such as debt and lease agreements.</w:t>
      </w:r>
    </w:p>
    <w:p>
      <w:pPr>
        <w:pStyle w:val="TextBody"/>
        <w:bidi w:val="0"/>
        <w:spacing w:before="240" w:after="283"/>
        <w:jc w:val="both"/>
        <w:rPr>
          <w:rFonts w:ascii="Arial" w:hAnsi="Arial"/>
          <w:color w:val="000000"/>
          <w:sz w:val="16"/>
        </w:rPr>
      </w:pPr>
      <w:r>
        <w:rPr>
          <w:rFonts w:ascii="Arial" w:hAnsi="Arial"/>
          <w:color w:val="000000"/>
          <w:sz w:val="16"/>
        </w:rPr>
        <w:t>Except for the $3,705 of new finance leases that commenced during the six months ended December 28, 2025, there have been no material changes in the scheduled maturities of UNIFI’s contractual obligations as disclosed under the heading “Contractual Obligations” in “Item 7. Management’s Discussion and Analysis of Financial Condition and Results of Operations” in the 2025 Form 10-K.</w:t>
      </w:r>
    </w:p>
    <w:p>
      <w:pPr>
        <w:pStyle w:val="TextBody"/>
        <w:bidi w:val="0"/>
        <w:spacing w:before="360" w:after="283"/>
        <w:jc w:val="both"/>
        <w:rPr>
          <w:rFonts w:ascii="Arial" w:hAnsi="Arial"/>
          <w:b/>
          <w:color w:val="000000"/>
          <w:sz w:val="16"/>
        </w:rPr>
      </w:pPr>
      <w:r>
        <w:rPr>
          <w:rFonts w:ascii="Arial" w:hAnsi="Arial"/>
          <w:b/>
          <w:color w:val="000000"/>
          <w:sz w:val="16"/>
        </w:rPr>
        <w:t>Off-Balance Sheet Arrangements</w:t>
      </w:r>
    </w:p>
    <w:p>
      <w:pPr>
        <w:pStyle w:val="TextBody"/>
        <w:bidi w:val="0"/>
        <w:spacing w:before="120" w:after="283"/>
        <w:jc w:val="both"/>
        <w:rPr>
          <w:rFonts w:ascii="Arial" w:hAnsi="Arial"/>
          <w:color w:val="000000"/>
          <w:sz w:val="16"/>
        </w:rPr>
      </w:pPr>
      <w:r>
        <w:rPr>
          <w:rFonts w:ascii="Arial" w:hAnsi="Arial"/>
          <w:color w:val="000000"/>
          <w:sz w:val="16"/>
        </w:rPr>
        <w:t>UNIFI is not a party to any off-balance sheet arrangements that have, or are reasonably likely to have, a current or future material effect on UNIFI’s financial condition, results of operations, liquidity, or capital expenditures.</w:t>
      </w:r>
    </w:p>
    <w:p>
      <w:pPr>
        <w:pStyle w:val="TextBody"/>
        <w:bidi w:val="0"/>
        <w:spacing w:before="360" w:after="283"/>
        <w:jc w:val="both"/>
        <w:rPr>
          <w:rFonts w:ascii="Arial" w:hAnsi="Arial"/>
          <w:b/>
          <w:color w:val="000000"/>
          <w:sz w:val="16"/>
        </w:rPr>
      </w:pPr>
      <w:r>
        <w:rPr>
          <w:rFonts w:ascii="Arial" w:hAnsi="Arial"/>
          <w:b/>
          <w:color w:val="000000"/>
          <w:sz w:val="16"/>
        </w:rPr>
        <w:t>Critical Accounting Policies</w:t>
      </w:r>
    </w:p>
    <w:p>
      <w:pPr>
        <w:pStyle w:val="TextBody"/>
        <w:bidi w:val="0"/>
        <w:spacing w:before="120" w:after="283"/>
        <w:jc w:val="both"/>
        <w:rPr>
          <w:rFonts w:ascii="Arial" w:hAnsi="Arial"/>
          <w:color w:val="000000"/>
          <w:sz w:val="16"/>
        </w:rPr>
      </w:pPr>
      <w:r>
        <w:rPr>
          <w:rFonts w:ascii="Arial" w:hAnsi="Arial"/>
          <w:color w:val="000000"/>
          <w:sz w:val="16"/>
        </w:rPr>
        <w:t>UNIFI’s critical accounting policies are discussed in the 2025 Form 10-K. There have been no changes to UNIFI’s critical accounting policies in fiscal 2026.</w:t>
      </w:r>
    </w:p>
    <w:p>
      <w:pPr>
        <w:pStyle w:val="TextBody"/>
        <w:bidi w:val="0"/>
        <w:spacing w:before="240" w:after="283"/>
        <w:jc w:val="center"/>
        <w:rPr>
          <w:rFonts w:ascii="Arial" w:hAnsi="Arial"/>
          <w:color w:val="000000"/>
          <w:sz w:val="16"/>
        </w:rPr>
      </w:pPr>
      <w:r>
        <w:rPr>
          <w:rFonts w:ascii="Arial" w:hAnsi="Arial"/>
          <w:color w:val="000000"/>
          <w:sz w:val="16"/>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Arial" w:hAnsi="Arial"/>
          <w:b/>
          <w:color w:val="000000"/>
          <w:sz w:val="16"/>
        </w:rPr>
      </w:pPr>
      <w:bookmarkStart w:id="10" w:name="item_3_quantitative_qualitative_disclosu"/>
      <w:bookmarkEnd w:id="10"/>
      <w:r>
        <w:rPr>
          <w:rFonts w:ascii="Arial" w:hAnsi="Arial"/>
          <w:b/>
          <w:color w:val="000000"/>
          <w:sz w:val="16"/>
        </w:rPr>
        <w:t>Item 3. Quantitative and Qualitative Disclosures About Market Risk</w:t>
      </w:r>
    </w:p>
    <w:p>
      <w:pPr>
        <w:pStyle w:val="TextBody"/>
        <w:bidi w:val="0"/>
        <w:spacing w:before="120" w:after="283"/>
        <w:jc w:val="both"/>
        <w:rPr>
          <w:rFonts w:ascii="Arial" w:hAnsi="Arial"/>
          <w:color w:val="000000"/>
          <w:sz w:val="16"/>
        </w:rPr>
      </w:pPr>
      <w:r>
        <w:rPr>
          <w:rFonts w:ascii="Arial" w:hAnsi="Arial"/>
          <w:color w:val="000000"/>
          <w:sz w:val="16"/>
        </w:rPr>
        <w:t>UNIFI is exposed to market risks associated with changes in interest rates, fluctuations in foreign currency exchange rates, and raw material and commodity costs, which may adversely affect its financial position, results of operations, or cash flows. UNIFI does not enter into derivative financial instruments for trading purposes, nor is it a party to any leveraged financial instruments.</w:t>
      </w:r>
    </w:p>
    <w:p>
      <w:pPr>
        <w:pStyle w:val="TextBody"/>
        <w:bidi w:val="0"/>
        <w:spacing w:before="240" w:after="283"/>
        <w:jc w:val="both"/>
        <w:rPr>
          <w:rFonts w:ascii="Arial" w:hAnsi="Arial"/>
          <w:b/>
          <w:i/>
          <w:color w:val="000000"/>
          <w:sz w:val="16"/>
        </w:rPr>
      </w:pPr>
      <w:r>
        <w:rPr>
          <w:rFonts w:ascii="Arial" w:hAnsi="Arial"/>
          <w:b/>
          <w:i/>
          <w:color w:val="000000"/>
          <w:sz w:val="16"/>
        </w:rPr>
        <w:t>Interest Rate Risk</w:t>
      </w:r>
    </w:p>
    <w:p>
      <w:pPr>
        <w:pStyle w:val="TextBody"/>
        <w:bidi w:val="0"/>
        <w:spacing w:before="120" w:after="283"/>
        <w:jc w:val="both"/>
        <w:rPr>
          <w:rFonts w:ascii="Arial" w:hAnsi="Arial"/>
          <w:color w:val="000000"/>
          <w:sz w:val="16"/>
        </w:rPr>
      </w:pPr>
      <w:r>
        <w:rPr>
          <w:rFonts w:ascii="Arial" w:hAnsi="Arial"/>
          <w:color w:val="000000"/>
          <w:sz w:val="16"/>
        </w:rPr>
        <w:t>UNIFI is exposed to interest rate risk through its borrowing activities. As of December 28, 2025, UNIFI had borrowings under the 2022 ABL Term Facility and 2024 Facility that totaled $95,200. UNIFI’s sensitivity analysis indicates that a 50-basis point interest rate increase as of December 28, 2025 would result in an increase in annual interest expense of approximately $500.</w:t>
      </w:r>
    </w:p>
    <w:p>
      <w:pPr>
        <w:pStyle w:val="TextBody"/>
        <w:bidi w:val="0"/>
        <w:spacing w:before="240" w:after="283"/>
        <w:jc w:val="both"/>
        <w:rPr>
          <w:rFonts w:ascii="Arial" w:hAnsi="Arial"/>
          <w:b/>
          <w:i/>
          <w:color w:val="000000"/>
          <w:sz w:val="16"/>
        </w:rPr>
      </w:pPr>
      <w:r>
        <w:rPr>
          <w:rFonts w:ascii="Arial" w:hAnsi="Arial"/>
          <w:b/>
          <w:i/>
          <w:color w:val="000000"/>
          <w:sz w:val="16"/>
        </w:rPr>
        <w:t>Foreign Currency Exchange Rate Risk</w:t>
      </w:r>
    </w:p>
    <w:p>
      <w:pPr>
        <w:pStyle w:val="TextBody"/>
        <w:bidi w:val="0"/>
        <w:spacing w:before="120" w:after="283"/>
        <w:jc w:val="both"/>
        <w:rPr>
          <w:rFonts w:ascii="Arial" w:hAnsi="Arial"/>
          <w:color w:val="000000"/>
          <w:sz w:val="16"/>
        </w:rPr>
      </w:pPr>
      <w:r>
        <w:rPr>
          <w:rFonts w:ascii="Arial" w:hAnsi="Arial"/>
          <w:color w:val="000000"/>
          <w:sz w:val="16"/>
        </w:rPr>
        <w:t>A complete discussion of foreign currency exchange rate risk is included in the 2025 Form 10-K and is supplemented by the following disclosures.</w:t>
      </w:r>
    </w:p>
    <w:p>
      <w:pPr>
        <w:pStyle w:val="TextBody"/>
        <w:bidi w:val="0"/>
        <w:spacing w:before="240" w:after="283"/>
        <w:jc w:val="both"/>
        <w:rPr>
          <w:rFonts w:ascii="Arial" w:hAnsi="Arial"/>
          <w:color w:val="000000"/>
          <w:sz w:val="16"/>
        </w:rPr>
      </w:pPr>
      <w:r>
        <w:rPr>
          <w:rFonts w:ascii="Arial" w:hAnsi="Arial"/>
          <w:color w:val="000000"/>
          <w:sz w:val="16"/>
        </w:rPr>
        <w:t>As of December 28, 2025, UNIFI had no outstanding foreign currency forward contracts. As of December 28, 2025, foreign currency exchange rate risk positions included the following:</w:t>
      </w:r>
    </w:p>
    <w:p>
      <w:pPr>
        <w:pStyle w:val="TextBody"/>
        <w:bidi w:val="0"/>
        <w:jc w:val="both"/>
        <w:rPr/>
      </w:pPr>
      <w:r>
        <w:rPr/>
        <w:t> </w:t>
      </w:r>
    </w:p>
    <w:tbl>
      <w:tblPr>
        <w:tblW w:w="9809" w:type="dxa"/>
        <w:jc w:val="left"/>
        <w:tblInd w:w="0" w:type="dxa"/>
        <w:tblLayout w:type="fixed"/>
        <w:tblCellMar>
          <w:top w:w="28" w:type="dxa"/>
          <w:left w:w="28" w:type="dxa"/>
          <w:bottom w:w="28" w:type="dxa"/>
          <w:right w:w="28" w:type="dxa"/>
        </w:tblCellMar>
      </w:tblPr>
      <w:tblGrid>
        <w:gridCol w:w="8236"/>
        <w:gridCol w:w="146"/>
        <w:gridCol w:w="276"/>
        <w:gridCol w:w="850"/>
        <w:gridCol w:w="301"/>
      </w:tblGrid>
      <w:tr>
        <w:trPr/>
        <w:tc>
          <w:tcPr>
            <w:tcW w:w="82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Approximate</w:t>
              <w:br/>
              <w:t>Amount or</w:t>
              <w:br/>
              <w:t>Percentage</w:t>
            </w:r>
          </w:p>
        </w:tc>
        <w:tc>
          <w:tcPr>
            <w:tcW w:w="3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8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Percentage of total consolidated assets held by UNIFI's subsidiaries outside the U.S. whose functional currency</w:t>
              <w:br/>
              <w:t>   is not the USD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held outside the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Denominated in USD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13,045</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Denominated in RMB</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993</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Denominated in BRL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12,152</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3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16"/>
              </w:rPr>
              <w:t>Denominated in other foreign currencies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717</w:t>
            </w:r>
          </w:p>
        </w:tc>
        <w:tc>
          <w:tcPr>
            <w:tcW w:w="3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Total cash and cash equivalents held outside the 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0" w:type="dxa"/>
            <w:tcBorders/>
            <w:shd w:fill="FFFFFF"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26,907</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8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Percentage of total cash and cash equivalents held outside the 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89.1</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r>
      <w:tr>
        <w:trPr/>
        <w:tc>
          <w:tcPr>
            <w:tcW w:w="8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823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Cash and cash equivalents held inside the U.S. in USD by foreign subsidiaries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w:t>
            </w:r>
          </w:p>
        </w:tc>
        <w:tc>
          <w:tcPr>
            <w:tcW w:w="850" w:type="dxa"/>
            <w:tcBorders/>
            <w:shd w:fill="CFF0FC" w:val="clear"/>
            <w:tcMar>
              <w:top w:w="0" w:type="dxa"/>
              <w:left w:w="0" w:type="dxa"/>
              <w:bottom w:w="0" w:type="dxa"/>
              <w:right w:w="0" w:type="dxa"/>
            </w:tcMar>
            <w:vAlign w:val="center"/>
          </w:tcPr>
          <w:p>
            <w:pPr>
              <w:pStyle w:val="TableContents"/>
              <w:bidi w:val="0"/>
              <w:spacing w:before="0" w:after="283"/>
              <w:jc w:val="right"/>
              <w:rPr>
                <w:rFonts w:ascii="Arial" w:hAnsi="Arial"/>
                <w:color w:val="000000"/>
                <w:sz w:val="16"/>
              </w:rPr>
            </w:pPr>
            <w:r>
              <w:rPr>
                <w:rFonts w:ascii="Arial" w:hAnsi="Arial"/>
                <w:color w:val="000000"/>
                <w:sz w:val="16"/>
              </w:rPr>
              <w:t>3,256</w:t>
            </w:r>
          </w:p>
        </w:tc>
        <w:tc>
          <w:tcPr>
            <w:tcW w:w="3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both"/>
        <w:rPr>
          <w:rFonts w:ascii="Arial" w:hAnsi="Arial"/>
          <w:b/>
          <w:i/>
          <w:color w:val="000000"/>
          <w:sz w:val="16"/>
        </w:rPr>
      </w:pPr>
      <w:r>
        <w:rPr>
          <w:rFonts w:ascii="Arial" w:hAnsi="Arial"/>
          <w:b/>
          <w:i/>
          <w:color w:val="000000"/>
          <w:sz w:val="16"/>
        </w:rPr>
        <w:t>Raw Material and Commodity Cost Risks</w:t>
      </w:r>
    </w:p>
    <w:p>
      <w:pPr>
        <w:pStyle w:val="TextBody"/>
        <w:bidi w:val="0"/>
        <w:spacing w:before="120" w:after="283"/>
        <w:jc w:val="both"/>
        <w:rPr>
          <w:rFonts w:ascii="Arial" w:hAnsi="Arial"/>
          <w:color w:val="000000"/>
          <w:sz w:val="16"/>
        </w:rPr>
      </w:pPr>
      <w:r>
        <w:rPr>
          <w:rFonts w:ascii="Arial" w:hAnsi="Arial"/>
          <w:color w:val="000000"/>
          <w:sz w:val="16"/>
        </w:rPr>
        <w:t>A complete discussion of raw material and commodity cost risks is included in the 2025 Form 10-K.</w:t>
      </w:r>
    </w:p>
    <w:p>
      <w:pPr>
        <w:pStyle w:val="TextBody"/>
        <w:bidi w:val="0"/>
        <w:spacing w:before="240" w:after="283"/>
        <w:jc w:val="both"/>
        <w:rPr>
          <w:rFonts w:ascii="Arial" w:hAnsi="Arial"/>
          <w:b/>
          <w:i/>
          <w:color w:val="000000"/>
          <w:sz w:val="16"/>
        </w:rPr>
      </w:pPr>
      <w:r>
        <w:rPr>
          <w:rFonts w:ascii="Arial" w:hAnsi="Arial"/>
          <w:b/>
          <w:i/>
          <w:color w:val="000000"/>
          <w:sz w:val="16"/>
        </w:rPr>
        <w:t>Other Risks</w:t>
      </w:r>
    </w:p>
    <w:p>
      <w:pPr>
        <w:pStyle w:val="TextBody"/>
        <w:bidi w:val="0"/>
        <w:spacing w:before="120" w:after="283"/>
        <w:jc w:val="both"/>
        <w:rPr>
          <w:rFonts w:ascii="Arial" w:hAnsi="Arial"/>
          <w:color w:val="000000"/>
          <w:sz w:val="16"/>
        </w:rPr>
      </w:pPr>
      <w:r>
        <w:rPr>
          <w:rFonts w:ascii="Arial" w:hAnsi="Arial"/>
          <w:color w:val="000000"/>
          <w:sz w:val="16"/>
        </w:rPr>
        <w:t>UNIFI is also exposed to geopolitical risk, including changing laws and regulations governing international trade, such as quotas, tariffs, and tax laws. The degree of impact and the frequency of these events cannot be predicted.</w:t>
      </w:r>
    </w:p>
    <w:p>
      <w:pPr>
        <w:pStyle w:val="TextBody"/>
        <w:bidi w:val="0"/>
        <w:spacing w:before="240" w:after="283"/>
        <w:jc w:val="both"/>
        <w:rPr>
          <w:rFonts w:ascii="Times New Roman" w:hAnsi="Times New Roman"/>
          <w:sz w:val="20"/>
        </w:rPr>
      </w:pPr>
      <w:bookmarkStart w:id="11" w:name="item_4_controls_procedures"/>
      <w:bookmarkEnd w:id="11"/>
      <w:r>
        <w:rPr>
          <w:rFonts w:ascii="Arial" w:hAnsi="Arial"/>
          <w:b/>
          <w:color w:val="000000"/>
          <w:sz w:val="16"/>
        </w:rPr>
        <w:t>Item 4. Controls</w:t>
      </w:r>
      <w:r>
        <w:rPr>
          <w:rFonts w:ascii="Times New Roman" w:hAnsi="Times New Roman"/>
          <w:color w:val="000000"/>
          <w:sz w:val="20"/>
        </w:rPr>
        <w:t xml:space="preserve"> </w:t>
      </w:r>
      <w:r>
        <w:rPr>
          <w:rFonts w:ascii="Arial" w:hAnsi="Arial"/>
          <w:b/>
          <w:color w:val="000000"/>
          <w:sz w:val="16"/>
        </w:rPr>
        <w:t>and Procedures</w:t>
      </w:r>
    </w:p>
    <w:p>
      <w:pPr>
        <w:pStyle w:val="TextBody"/>
        <w:bidi w:val="0"/>
        <w:spacing w:before="120" w:after="283"/>
        <w:jc w:val="both"/>
        <w:rPr>
          <w:rFonts w:ascii="Arial" w:hAnsi="Arial"/>
          <w:color w:val="000000"/>
          <w:sz w:val="16"/>
        </w:rPr>
      </w:pPr>
      <w:r>
        <w:rPr>
          <w:rFonts w:ascii="Arial" w:hAnsi="Arial"/>
          <w:color w:val="000000"/>
          <w:sz w:val="16"/>
        </w:rPr>
        <w:t>As of December 28, 2025, an evaluation of the effectiveness of UNIFI’s disclosure controls and procedures (as defined in Rules 13a-15(e) and 15d-15(e) promulgated under the Securities Exchange Act of 1934, as amended (the “Exchange Act”)) was performed under the supervision and with the participation of UNIFI’s management, including the principal executive officer and the principal financial officer. Based on that evaluation, UNIFI’s principal executive officer and principal financial officer concluded that UNIFI’s disclosure controls and procedures are effective to ensure that information required to be disclosed by UNIFI in its reports that it files or submits under the Exchange Act is recorded, processed, summarized, and reported within the time periods specified in the SEC rules and forms, and that information required to be disclosed by UNIFI in the reports UNIFI files or submits under the Exchange Act is accumulated and communicated to UNIFI’s management, including its principal executive officer and its principal financial officer, as appropriate to allow timely decisions regarding required disclosure.</w:t>
      </w:r>
    </w:p>
    <w:p>
      <w:pPr>
        <w:pStyle w:val="TextBody"/>
        <w:bidi w:val="0"/>
        <w:spacing w:before="240" w:after="283"/>
        <w:jc w:val="both"/>
        <w:rPr>
          <w:rFonts w:ascii="Arial" w:hAnsi="Arial"/>
          <w:color w:val="000000"/>
          <w:sz w:val="16"/>
        </w:rPr>
      </w:pPr>
      <w:r>
        <w:rPr>
          <w:rFonts w:ascii="Arial" w:hAnsi="Arial"/>
          <w:color w:val="000000"/>
          <w:sz w:val="16"/>
        </w:rPr>
        <w:t>There were no changes in UNIFI’s internal control over financial reporting during the three months ended December 28, 2025 that have materially affected, or are reasonably likely to materially affect, UNIFI’s internal control over financial reporting.</w:t>
      </w:r>
    </w:p>
    <w:p>
      <w:pPr>
        <w:pStyle w:val="TextBody"/>
        <w:bidi w:val="0"/>
        <w:spacing w:before="240" w:after="283"/>
        <w:jc w:val="center"/>
        <w:rPr>
          <w:rFonts w:ascii="Arial" w:hAnsi="Arial"/>
          <w:color w:val="000000"/>
          <w:sz w:val="16"/>
        </w:rPr>
      </w:pPr>
      <w:r>
        <w:rPr>
          <w:rFonts w:ascii="Arial" w:hAnsi="Arial"/>
          <w:color w:val="000000"/>
          <w:sz w:val="16"/>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12" w:name="part_ii_or_information"/>
      <w:bookmarkEnd w:id="12"/>
      <w:r>
        <w:rPr>
          <w:rFonts w:ascii="Arial" w:hAnsi="Arial"/>
          <w:b/>
          <w:color w:val="000000"/>
          <w:sz w:val="16"/>
        </w:rPr>
        <w:t>PART II—OTHER INFORMATION</w:t>
      </w:r>
    </w:p>
    <w:p>
      <w:pPr>
        <w:pStyle w:val="TextBody"/>
        <w:bidi w:val="0"/>
        <w:spacing w:before="240" w:after="283"/>
        <w:jc w:val="both"/>
        <w:rPr>
          <w:rFonts w:ascii="Times New Roman" w:hAnsi="Times New Roman"/>
          <w:sz w:val="20"/>
        </w:rPr>
      </w:pPr>
      <w:bookmarkStart w:id="13" w:name="item_1_legal_proceedings"/>
      <w:bookmarkEnd w:id="13"/>
      <w:r>
        <w:rPr>
          <w:rFonts w:ascii="Arial" w:hAnsi="Arial"/>
          <w:b/>
          <w:color w:val="000000"/>
          <w:sz w:val="16"/>
        </w:rPr>
        <w:t>Item 1. Legal</w:t>
      </w:r>
      <w:r>
        <w:rPr>
          <w:rFonts w:ascii="Times New Roman" w:hAnsi="Times New Roman"/>
          <w:color w:val="000000"/>
          <w:sz w:val="20"/>
        </w:rPr>
        <w:t xml:space="preserve"> </w:t>
      </w:r>
      <w:r>
        <w:rPr>
          <w:rFonts w:ascii="Arial" w:hAnsi="Arial"/>
          <w:b/>
          <w:color w:val="000000"/>
          <w:sz w:val="16"/>
        </w:rPr>
        <w:t>Proceedings</w:t>
      </w:r>
    </w:p>
    <w:p>
      <w:pPr>
        <w:pStyle w:val="TextBody"/>
        <w:bidi w:val="0"/>
        <w:spacing w:before="120" w:after="283"/>
        <w:jc w:val="both"/>
        <w:rPr>
          <w:rFonts w:ascii="Arial" w:hAnsi="Arial"/>
          <w:color w:val="000000"/>
          <w:sz w:val="16"/>
        </w:rPr>
      </w:pPr>
      <w:r>
        <w:rPr>
          <w:rFonts w:ascii="Arial" w:hAnsi="Arial"/>
          <w:color w:val="000000"/>
          <w:sz w:val="16"/>
        </w:rPr>
        <w:t>We are from time to time a party to various lawsuits, claims, and other legal proceedings that arise in the ordinary course of business. With respect to all such lawsuits, claims, and proceedings, we record reserves when it is probable a liability has been incurred and the amount of loss can be reasonably estimated. We do not believe that any of these proceedings, individually or in the aggregate, would be expected to have a material adverse effect on our results of operations, financial position, or cash flows. We maintain liability insurance for certain risks that is subject to certain self-insurance limits.</w:t>
      </w:r>
    </w:p>
    <w:p>
      <w:pPr>
        <w:pStyle w:val="TextBody"/>
        <w:bidi w:val="0"/>
        <w:spacing w:before="240" w:after="283"/>
        <w:jc w:val="both"/>
        <w:rPr>
          <w:rFonts w:ascii="Times New Roman" w:hAnsi="Times New Roman"/>
          <w:sz w:val="20"/>
        </w:rPr>
      </w:pPr>
      <w:bookmarkStart w:id="14" w:name="risk_factors"/>
      <w:bookmarkEnd w:id="14"/>
      <w:r>
        <w:rPr>
          <w:rFonts w:ascii="Arial" w:hAnsi="Arial"/>
          <w:b/>
          <w:color w:val="000000"/>
          <w:sz w:val="16"/>
        </w:rPr>
        <w:t>Item 1A. Risk</w:t>
      </w:r>
      <w:r>
        <w:rPr>
          <w:rFonts w:ascii="Times New Roman" w:hAnsi="Times New Roman"/>
          <w:color w:val="000000"/>
          <w:sz w:val="20"/>
        </w:rPr>
        <w:t xml:space="preserve"> </w:t>
      </w:r>
      <w:r>
        <w:rPr>
          <w:rFonts w:ascii="Arial" w:hAnsi="Arial"/>
          <w:b/>
          <w:color w:val="000000"/>
          <w:sz w:val="16"/>
        </w:rPr>
        <w:t>Factors</w:t>
      </w:r>
    </w:p>
    <w:p>
      <w:pPr>
        <w:pStyle w:val="TextBody"/>
        <w:bidi w:val="0"/>
        <w:spacing w:before="240" w:after="283"/>
        <w:jc w:val="both"/>
        <w:rPr>
          <w:rFonts w:ascii="Arial" w:hAnsi="Arial"/>
          <w:color w:val="000000"/>
          <w:sz w:val="16"/>
        </w:rPr>
      </w:pPr>
      <w:r>
        <w:rPr>
          <w:rFonts w:ascii="Arial" w:hAnsi="Arial"/>
          <w:color w:val="000000"/>
          <w:sz w:val="16"/>
        </w:rPr>
        <w:t>There have been no material changes in UNIFI’s risk factors from those included in “Item 1A. Risk Factors” in the 2025 Form 10-K.</w:t>
      </w:r>
    </w:p>
    <w:p>
      <w:pPr>
        <w:pStyle w:val="TextBody"/>
        <w:bidi w:val="0"/>
        <w:spacing w:before="240" w:after="283"/>
        <w:jc w:val="both"/>
        <w:rPr>
          <w:rFonts w:ascii="Times New Roman" w:hAnsi="Times New Roman"/>
          <w:sz w:val="20"/>
        </w:rPr>
      </w:pPr>
      <w:bookmarkStart w:id="15" w:name="other_information"/>
      <w:bookmarkEnd w:id="15"/>
      <w:r>
        <w:rPr>
          <w:rFonts w:ascii="Arial" w:hAnsi="Arial"/>
          <w:b/>
          <w:color w:val="000000"/>
          <w:sz w:val="16"/>
        </w:rPr>
        <w:t>Item 5. Other</w:t>
      </w:r>
      <w:r>
        <w:rPr>
          <w:rFonts w:ascii="Times New Roman" w:hAnsi="Times New Roman"/>
          <w:color w:val="000000"/>
          <w:sz w:val="20"/>
        </w:rPr>
        <w:t xml:space="preserve"> </w:t>
      </w:r>
      <w:r>
        <w:rPr>
          <w:rFonts w:ascii="Arial" w:hAnsi="Arial"/>
          <w:b/>
          <w:color w:val="000000"/>
          <w:sz w:val="16"/>
        </w:rPr>
        <w:t>Information</w:t>
      </w:r>
    </w:p>
    <w:p>
      <w:pPr>
        <w:pStyle w:val="TextBody"/>
        <w:bidi w:val="0"/>
        <w:spacing w:before="240" w:after="283"/>
        <w:jc w:val="both"/>
        <w:rPr>
          <w:rFonts w:ascii="Arial" w:hAnsi="Arial"/>
          <w:b/>
          <w:i/>
          <w:color w:val="000000"/>
          <w:sz w:val="16"/>
        </w:rPr>
      </w:pPr>
      <w:r>
        <w:rPr>
          <w:rFonts w:ascii="Arial" w:hAnsi="Arial"/>
          <w:b/>
          <w:i/>
          <w:color w:val="000000"/>
          <w:sz w:val="16"/>
        </w:rPr>
        <w:t>Insider Trading Arrangements</w:t>
      </w:r>
    </w:p>
    <w:p>
      <w:pPr>
        <w:pStyle w:val="TextBody"/>
        <w:bidi w:val="0"/>
        <w:spacing w:before="240" w:after="283"/>
        <w:jc w:val="both"/>
        <w:rPr>
          <w:rFonts w:ascii="Times New Roman" w:hAnsi="Times New Roman"/>
          <w:sz w:val="20"/>
        </w:rPr>
      </w:pPr>
      <w:r>
        <w:rPr>
          <w:rFonts w:ascii="Arial" w:hAnsi="Arial"/>
          <w:color w:val="000000"/>
          <w:sz w:val="16"/>
        </w:rPr>
        <w:t>During the quarter ended December 28, 2025, none of our directors or officers (as defined in Rule 16a-1(f) under the Exchange Act) adopted, modified, or terminated</w:t>
      </w:r>
      <w:r>
        <w:rPr>
          <w:rFonts w:ascii="Times New Roman" w:hAnsi="Times New Roman"/>
          <w:color w:val="000000"/>
          <w:sz w:val="20"/>
        </w:rPr>
        <w:t xml:space="preserve"> </w:t>
      </w:r>
      <w:r>
        <w:rPr>
          <w:rFonts w:ascii="Arial" w:hAnsi="Arial"/>
          <w:color w:val="000000"/>
          <w:sz w:val="16"/>
        </w:rPr>
        <w:t>a “Rule 10b5-1 trading arrangement” or a “non-Rule 10b5-1 trading arrangement” (as such terms are defined in Item 408 of Regulation S-K).</w:t>
      </w:r>
    </w:p>
    <w:p>
      <w:pPr>
        <w:pStyle w:val="TextBody"/>
        <w:bidi w:val="0"/>
        <w:spacing w:before="240" w:after="283"/>
        <w:jc w:val="both"/>
        <w:rPr/>
      </w:pPr>
      <w:r>
        <w:rPr/>
        <w:t> </w:t>
      </w:r>
    </w:p>
    <w:p>
      <w:pPr>
        <w:pStyle w:val="TextBody"/>
        <w:bidi w:val="0"/>
        <w:spacing w:before="240" w:after="283"/>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bookmarkStart w:id="16" w:name="item_6_exhibits"/>
      <w:bookmarkEnd w:id="16"/>
      <w:r>
        <w:rPr>
          <w:rFonts w:ascii="Arial" w:hAnsi="Arial"/>
          <w:b/>
          <w:color w:val="000000"/>
          <w:sz w:val="16"/>
        </w:rPr>
        <w:t>Item 6.</w:t>
      </w:r>
      <w:r>
        <w:rPr>
          <w:rFonts w:ascii="Times New Roman" w:hAnsi="Times New Roman"/>
          <w:color w:val="000000"/>
          <w:sz w:val="20"/>
        </w:rPr>
        <w:t xml:space="preserve"> </w:t>
      </w:r>
      <w:r>
        <w:rPr>
          <w:rFonts w:ascii="Arial" w:hAnsi="Arial"/>
          <w:b/>
          <w:color w:val="000000"/>
          <w:sz w:val="16"/>
        </w:rPr>
        <w:t>Exhibits</w:t>
      </w:r>
    </w:p>
    <w:p>
      <w:pPr>
        <w:pStyle w:val="TextBody"/>
        <w:bidi w:val="0"/>
        <w:spacing w:before="120" w:after="283"/>
        <w:jc w:val="both"/>
        <w:rPr/>
      </w:pPr>
      <w:r>
        <w:rPr/>
        <w:t> </w:t>
      </w:r>
    </w:p>
    <w:tbl>
      <w:tblPr>
        <w:tblW w:w="10205" w:type="dxa"/>
        <w:jc w:val="left"/>
        <w:tblInd w:w="0" w:type="dxa"/>
        <w:tblLayout w:type="fixed"/>
        <w:tblCellMar>
          <w:top w:w="28" w:type="dxa"/>
          <w:left w:w="28" w:type="dxa"/>
          <w:bottom w:w="28" w:type="dxa"/>
          <w:right w:w="28" w:type="dxa"/>
        </w:tblCellMar>
      </w:tblPr>
      <w:tblGrid>
        <w:gridCol w:w="845"/>
        <w:gridCol w:w="146"/>
        <w:gridCol w:w="9214"/>
      </w:tblGrid>
      <w:tr>
        <w:trPr/>
        <w:tc>
          <w:tcPr>
            <w:tcW w:w="8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9214" w:type="dxa"/>
            <w:tcBorders/>
            <w:shd w:fill="FFFFFF" w:val="clear"/>
            <w:vAlign w:val="center"/>
          </w:tcPr>
          <w:p>
            <w:pPr>
              <w:pStyle w:val="TableContents"/>
              <w:bidi w:val="0"/>
              <w:spacing w:before="0" w:after="283"/>
              <w:jc w:val="left"/>
              <w:rPr>
                <w:sz w:val="4"/>
                <w:szCs w:val="4"/>
              </w:rPr>
            </w:pPr>
            <w:r>
              <w:rPr>
                <w:sz w:val="4"/>
                <w:szCs w:val="4"/>
              </w:rPr>
            </w:r>
          </w:p>
        </w:tc>
      </w:tr>
      <w:tr>
        <w:trPr/>
        <w:tc>
          <w:tcPr>
            <w:tcW w:w="84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Arial" w:hAnsi="Arial"/>
                <w:b/>
                <w:color w:val="000000"/>
                <w:sz w:val="16"/>
              </w:rPr>
            </w:pPr>
            <w:r>
              <w:rPr>
                <w:rFonts w:ascii="Arial" w:hAnsi="Arial"/>
                <w:b/>
                <w:color w:val="000000"/>
                <w:sz w:val="16"/>
              </w:rPr>
              <w:t>Exhibit No.</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9214"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Description</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hyperlink r:id="rId2">
              <w:r>
                <w:rPr>
                  <w:rStyle w:val="InternetLink"/>
                  <w:rFonts w:ascii="Arial" w:hAnsi="Arial"/>
                  <w:color w:val="0000FF"/>
                  <w:sz w:val="16"/>
                  <w:u w:val="single"/>
                </w:rPr>
                <w:t>Restated Certificate of Incorporation of Unifi, Inc. (incorporated by reference to Exhibit 3.1 to the Current Report on Form 8-K filed October 31, 2016 (File No. 001-10542)).</w:t>
              </w:r>
            </w:hyperlink>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hyperlink r:id="rId3">
              <w:r>
                <w:rPr>
                  <w:rStyle w:val="InternetLink"/>
                  <w:rFonts w:ascii="Arial" w:hAnsi="Arial"/>
                  <w:color w:val="0000FF"/>
                  <w:sz w:val="16"/>
                  <w:u w:val="single"/>
                </w:rPr>
                <w:t>Amended and Restated By-laws of Unifi, Inc., as of October 26, 2016 (incorporated by reference to Exhibit 3.2 to the Current Report on Form 8-K filed October 31, 2016 (File No. 001-10542)).</w:t>
              </w:r>
            </w:hyperlink>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3.3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hyperlink r:id="rId4">
              <w:r>
                <w:rPr>
                  <w:rStyle w:val="InternetLink"/>
                  <w:rFonts w:ascii="Arial" w:hAnsi="Arial"/>
                  <w:color w:val="0000FF"/>
                  <w:sz w:val="16"/>
                  <w:u w:val="single"/>
                </w:rPr>
                <w:t>Declaration of Amendment to the Amended and Restated By-laws of Unifi, Inc. effective April 30, 2019 (incorporated by reference to Exhibit 3.1 to the Current Report on Form 8-K filed May 1, 2019 (File No. 001-10542))</w:t>
              </w:r>
            </w:hyperlink>
            <w:r>
              <w:rPr>
                <w:rFonts w:ascii="Arial" w:hAnsi="Arial"/>
                <w:color w:val="000000"/>
                <w:sz w:val="16"/>
              </w:rPr>
              <w:t>.</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10.1</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w:anchor="ufi-ex10_1.htm">
              <w:r>
                <w:rPr>
                  <w:rStyle w:val="InternetLink"/>
                  <w:rFonts w:ascii="Arial" w:hAnsi="Arial"/>
                  <w:color w:val="0000FF"/>
                  <w:sz w:val="16"/>
                  <w:u w:val="single"/>
                </w:rPr>
                <w:t>Form of Performance Share Unit Agreement for Employees for use in connection with the Unifi, Inc. Second Amended and Restated 2013 Incentive Compensation Plan (File No. 001-10542).</w:t>
              </w:r>
            </w:hyperlink>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10.2</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left"/>
              <w:rPr/>
            </w:pPr>
            <w:hyperlink w:anchor="ufi-ex10_2.htm">
              <w:r>
                <w:rPr>
                  <w:rStyle w:val="InternetLink"/>
                  <w:rFonts w:ascii="Arial" w:hAnsi="Arial"/>
                  <w:color w:val="0000FF"/>
                  <w:sz w:val="16"/>
                  <w:u w:val="single"/>
                </w:rPr>
                <w:t>Form of Cash Settled Performance Share Unit Agreement for Employees for use in connection with the Unifi, Inc. Second Amended and Restated 2013 Incentive Compensation Plan (File No. 001-10542).</w:t>
              </w:r>
            </w:hyperlink>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31.1</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hyperlink w:anchor="ufi-ex31_1.htm">
              <w:r>
                <w:rPr>
                  <w:rStyle w:val="InternetLink"/>
                  <w:rFonts w:ascii="Arial" w:hAnsi="Arial"/>
                  <w:color w:val="0000FF"/>
                  <w:sz w:val="16"/>
                  <w:u w:val="single"/>
                </w:rPr>
                <w:t>Certification of Principal Executive Officer pursuant to Rule 13a-14(a)/15d-14(a), as adopted pursuant to Section 302 of the Sarbanes-Oxley Act of 2002.</w:t>
              </w:r>
            </w:hyperlink>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31.2</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hyperlink w:anchor="ufi-ex31_2.htm">
              <w:r>
                <w:rPr>
                  <w:rStyle w:val="InternetLink"/>
                  <w:rFonts w:ascii="Arial" w:hAnsi="Arial"/>
                  <w:color w:val="0000FF"/>
                  <w:sz w:val="16"/>
                  <w:u w:val="single"/>
                </w:rPr>
                <w:t>Certification of Principal Financial Officer pursuant to Rule 13a-14(a)/15d-14(a), as adopted pursuant to Section 302 of the Sarbanes-Oxley Act of 2002.</w:t>
              </w:r>
            </w:hyperlink>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6"/>
              </w:rPr>
            </w:pPr>
            <w:r>
              <w:rPr>
                <w:rFonts w:ascii="Arial" w:hAnsi="Arial"/>
                <w:color w:val="000000"/>
                <w:sz w:val="16"/>
              </w:rPr>
              <w:t>32</w:t>
            </w:r>
            <w:r>
              <w:rPr>
                <w:rFonts w:ascii="Arial" w:hAnsi="Arial"/>
                <w:color w:val="000000"/>
                <w:sz w:val="11"/>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hyperlink w:anchor="ufi-ex32.htm">
              <w:r>
                <w:rPr>
                  <w:rStyle w:val="InternetLink"/>
                  <w:rFonts w:ascii="Arial" w:hAnsi="Arial"/>
                  <w:color w:val="0000FF"/>
                  <w:sz w:val="16"/>
                  <w:u w:val="single"/>
                </w:rPr>
                <w:t>Certifications of Principal Executive Officer and Principal Financial Officer pursuant to 18 U.S.C. Section 1350, as adopted pursuant to Section 906 of the Sarbanes-Oxley Act of 2002.</w:t>
              </w:r>
            </w:hyperlink>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Inline XBRL Instance Document – the instance document does not appear in the Interactive Data File because XBRL tags are embedded within the Inline XBRL document.</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Inline XBRL Taxonomy Extension Schema With Embedded Linkbases Document.</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rFonts w:ascii="Arial" w:hAnsi="Arial"/>
                <w:color w:val="000000"/>
                <w:sz w:val="16"/>
              </w:rPr>
            </w:pPr>
            <w:r>
              <w:rPr>
                <w:rFonts w:ascii="Arial" w:hAnsi="Arial"/>
                <w:color w:val="000000"/>
                <w:sz w:val="16"/>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rFonts w:ascii="Arial" w:hAnsi="Arial"/>
                <w:color w:val="000000"/>
                <w:sz w:val="16"/>
              </w:rPr>
            </w:pPr>
            <w:r>
              <w:rPr>
                <w:rFonts w:ascii="Arial" w:hAnsi="Arial"/>
                <w:color w:val="000000"/>
                <w:sz w:val="16"/>
              </w:rPr>
              <w:t>Cover Page Interactive Data File (embedded within the Inline XBRL document).</w:t>
            </w:r>
          </w:p>
        </w:tc>
      </w:tr>
      <w:tr>
        <w:trPr/>
        <w:tc>
          <w:tcPr>
            <w:tcW w:w="845"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214" w:type="dxa"/>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both"/>
        <w:rPr/>
      </w:pPr>
      <w:r>
        <w:rPr/>
        <w:t> </w:t>
      </w:r>
    </w:p>
    <w:p>
      <w:pPr>
        <w:pStyle w:val="TextBody"/>
        <w:bidi w:val="0"/>
        <w:spacing w:before="40" w:after="283"/>
        <w:jc w:val="both"/>
        <w:rPr>
          <w:rFonts w:ascii="Arial" w:hAnsi="Arial"/>
          <w:color w:val="000000"/>
          <w:sz w:val="16"/>
        </w:rPr>
      </w:pPr>
      <w:r>
        <w:rPr>
          <w:rFonts w:ascii="Arial" w:hAnsi="Arial"/>
          <w:color w:val="000000"/>
          <w:sz w:val="16"/>
        </w:rPr>
        <w:t>+ Filed herewith.</w:t>
      </w:r>
    </w:p>
    <w:p>
      <w:pPr>
        <w:pStyle w:val="TextBody"/>
        <w:bidi w:val="0"/>
        <w:spacing w:before="40" w:after="283"/>
        <w:jc w:val="both"/>
        <w:rPr>
          <w:rFonts w:ascii="Arial" w:hAnsi="Arial"/>
          <w:color w:val="000000"/>
          <w:sz w:val="16"/>
        </w:rPr>
      </w:pPr>
      <w:r>
        <w:rPr>
          <w:rFonts w:ascii="Arial" w:hAnsi="Arial"/>
          <w:color w:val="000000"/>
          <w:sz w:val="16"/>
        </w:rPr>
        <w:t>++ Furnished herewith.</w:t>
      </w:r>
    </w:p>
    <w:p>
      <w:pPr>
        <w:pStyle w:val="TextBody"/>
        <w:bidi w:val="0"/>
        <w:spacing w:before="40" w:after="283"/>
        <w:jc w:val="both"/>
        <w:rPr/>
      </w:pPr>
      <w:r>
        <w:rPr/>
        <w:t> </w:t>
      </w:r>
    </w:p>
    <w:p>
      <w:pPr>
        <w:pStyle w:val="TextBody"/>
        <w:bidi w:val="0"/>
        <w:spacing w:before="240" w:after="283"/>
        <w:jc w:val="center"/>
        <w:rPr>
          <w:rFonts w:ascii="Arial" w:hAnsi="Arial"/>
          <w:color w:val="000000"/>
          <w:sz w:val="16"/>
        </w:rPr>
      </w:pPr>
      <w:r>
        <w:rPr>
          <w:rFonts w:ascii="Arial" w:hAnsi="Arial"/>
          <w:color w:val="000000"/>
          <w:sz w:val="16"/>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Arial" w:hAnsi="Arial"/>
          <w:b/>
          <w:color w:val="000000"/>
          <w:sz w:val="16"/>
        </w:rPr>
      </w:pPr>
      <w:bookmarkStart w:id="17" w:name="signatures"/>
      <w:bookmarkEnd w:id="17"/>
      <w:r>
        <w:rPr>
          <w:rFonts w:ascii="Arial" w:hAnsi="Arial"/>
          <w:b/>
          <w:color w:val="000000"/>
          <w:sz w:val="16"/>
        </w:rPr>
        <w:t>SIGNATURES</w:t>
      </w:r>
    </w:p>
    <w:p>
      <w:pPr>
        <w:pStyle w:val="TextBody"/>
        <w:bidi w:val="0"/>
        <w:spacing w:before="240" w:after="283"/>
        <w:jc w:val="both"/>
        <w:rPr>
          <w:rFonts w:ascii="Arial" w:hAnsi="Arial"/>
          <w:color w:val="000000"/>
          <w:sz w:val="16"/>
        </w:rPr>
      </w:pPr>
      <w:r>
        <w:rPr>
          <w:rFonts w:ascii="Arial" w:hAnsi="Arial"/>
          <w:color w:val="000000"/>
          <w:sz w:val="16"/>
        </w:rPr>
        <w:t>Pursuant to the requirements of the Securities Exchange Act of 1934, the registrant has duly caused this report to be signed on its behalf by the undersigned thereunto duly authorized.</w:t>
      </w:r>
    </w:p>
    <w:tbl>
      <w:tblPr>
        <w:tblW w:w="6074" w:type="dxa"/>
        <w:jc w:val="left"/>
        <w:tblInd w:w="0" w:type="dxa"/>
        <w:tblLayout w:type="fixed"/>
        <w:tblCellMar>
          <w:top w:w="28" w:type="dxa"/>
          <w:left w:w="28" w:type="dxa"/>
          <w:bottom w:w="28" w:type="dxa"/>
          <w:right w:w="28" w:type="dxa"/>
        </w:tblCellMar>
      </w:tblPr>
      <w:tblGrid>
        <w:gridCol w:w="1816"/>
        <w:gridCol w:w="146"/>
        <w:gridCol w:w="346"/>
        <w:gridCol w:w="3766"/>
      </w:tblGrid>
      <w:tr>
        <w:trPr/>
        <w:tc>
          <w:tcPr>
            <w:tcW w:w="18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766" w:type="dxa"/>
            <w:tcBorders/>
            <w:vAlign w:val="center"/>
          </w:tcPr>
          <w:p>
            <w:pPr>
              <w:pStyle w:val="TableContents"/>
              <w:bidi w:val="0"/>
              <w:spacing w:before="0" w:after="283"/>
              <w:jc w:val="left"/>
              <w:rPr>
                <w:sz w:val="4"/>
                <w:szCs w:val="4"/>
              </w:rPr>
            </w:pPr>
            <w:r>
              <w:rPr>
                <w:sz w:val="4"/>
                <w:szCs w:val="4"/>
              </w:rPr>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b/>
                <w:color w:val="000000"/>
                <w:sz w:val="16"/>
              </w:rPr>
            </w:pPr>
            <w:r>
              <w:rPr>
                <w:rFonts w:ascii="Arial" w:hAnsi="Arial"/>
                <w:b/>
                <w:color w:val="000000"/>
                <w:sz w:val="16"/>
              </w:rPr>
              <w:t>UNIFI, INC.</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112" w:type="dxa"/>
            <w:gridSpan w:val="2"/>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(Registrant)</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81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Date: February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By:</w:t>
            </w:r>
          </w:p>
        </w:tc>
        <w:tc>
          <w:tcPr>
            <w:tcW w:w="376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/s/ ANDREW J. EAKER</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16"/>
              </w:rPr>
            </w:pPr>
            <w:r>
              <w:rPr>
                <w:rFonts w:ascii="Arial" w:hAnsi="Arial"/>
                <w:color w:val="000000"/>
                <w:sz w:val="16"/>
              </w:rPr>
              <w:t>Andrew J. Eaker</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Arial" w:hAnsi="Arial"/>
                <w:color w:val="000000"/>
                <w:sz w:val="16"/>
              </w:rPr>
            </w:pPr>
            <w:r>
              <w:rPr>
                <w:rFonts w:ascii="Arial" w:hAnsi="Arial"/>
                <w:color w:val="000000"/>
                <w:sz w:val="16"/>
              </w:rPr>
              <w:t>Executive Vice President &amp; Chief Financial Officer</w:t>
            </w:r>
          </w:p>
          <w:p>
            <w:pPr>
              <w:pStyle w:val="TableContents"/>
              <w:bidi w:val="0"/>
              <w:spacing w:before="0" w:after="283"/>
              <w:jc w:val="left"/>
              <w:rPr>
                <w:rFonts w:ascii="Arial" w:hAnsi="Arial"/>
                <w:color w:val="000000"/>
                <w:sz w:val="16"/>
              </w:rPr>
            </w:pPr>
            <w:r>
              <w:rPr>
                <w:rFonts w:ascii="Arial" w:hAnsi="Arial"/>
                <w:color w:val="000000"/>
                <w:sz w:val="16"/>
              </w:rPr>
              <w:t>Treasurer</w:t>
            </w:r>
          </w:p>
        </w:tc>
      </w:tr>
      <w:tr>
        <w:trPr/>
        <w:tc>
          <w:tcPr>
            <w:tcW w:w="18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tcMar>
              <w:top w:w="0" w:type="dxa"/>
              <w:left w:w="0" w:type="dxa"/>
              <w:bottom w:w="0" w:type="dxa"/>
              <w:right w:w="0" w:type="dxa"/>
            </w:tcMar>
            <w:vAlign w:val="center"/>
          </w:tcPr>
          <w:p>
            <w:pPr>
              <w:pStyle w:val="TableContents"/>
              <w:bidi w:val="0"/>
              <w:spacing w:before="0" w:after="283"/>
              <w:jc w:val="left"/>
              <w:rPr/>
            </w:pPr>
            <w:r>
              <w:rPr/>
              <w:t> </w:t>
            </w:r>
          </w:p>
        </w:tc>
        <w:tc>
          <w:tcPr>
            <w:tcW w:w="3766" w:type="dxa"/>
            <w:tcBorders/>
            <w:tcMar>
              <w:top w:w="0" w:type="dxa"/>
              <w:left w:w="0" w:type="dxa"/>
              <w:bottom w:w="0" w:type="dxa"/>
              <w:right w:w="0" w:type="dxa"/>
            </w:tcMar>
            <w:vAlign w:val="center"/>
          </w:tcPr>
          <w:p>
            <w:pPr>
              <w:pStyle w:val="TableContents"/>
              <w:bidi w:val="0"/>
              <w:jc w:val="left"/>
              <w:rPr>
                <w:rFonts w:ascii="Times New Roman" w:hAnsi="Times New Roman"/>
                <w:sz w:val="16"/>
              </w:rPr>
            </w:pPr>
            <w:r>
              <w:rPr>
                <w:rFonts w:ascii="Arial" w:hAnsi="Arial"/>
                <w:color w:val="000000"/>
                <w:sz w:val="16"/>
              </w:rPr>
              <w:t>(Principal Financial Officer and Principal</w:t>
            </w:r>
            <w:r>
              <w:rPr>
                <w:rFonts w:ascii="Times New Roman" w:hAnsi="Times New Roman"/>
                <w:color w:val="000000"/>
                <w:sz w:val="16"/>
              </w:rPr>
              <w:t xml:space="preserve"> </w:t>
            </w:r>
          </w:p>
          <w:p>
            <w:pPr>
              <w:pStyle w:val="TableContents"/>
              <w:bidi w:val="0"/>
              <w:spacing w:before="0" w:after="283"/>
              <w:jc w:val="left"/>
              <w:rPr>
                <w:rFonts w:ascii="Arial" w:hAnsi="Arial"/>
                <w:color w:val="000000"/>
                <w:sz w:val="16"/>
              </w:rPr>
            </w:pPr>
            <w:r>
              <w:rPr>
                <w:rFonts w:ascii="Arial" w:hAnsi="Arial"/>
                <w:color w:val="000000"/>
                <w:sz w:val="16"/>
              </w:rPr>
              <w:t>Accounting Officer)</w:t>
            </w:r>
          </w:p>
        </w:tc>
      </w:tr>
    </w:tbl>
    <w:p>
      <w:pPr>
        <w:pStyle w:val="TextBody"/>
        <w:bidi w:val="0"/>
        <w:jc w:val="left"/>
        <w:rPr/>
      </w:pPr>
      <w:r>
        <w:rPr/>
        <w:t> </w:t>
      </w:r>
    </w:p>
    <w:p>
      <w:pPr>
        <w:pStyle w:val="TextBody"/>
        <w:bidi w:val="0"/>
        <w:spacing w:before="240" w:after="283"/>
        <w:jc w:val="center"/>
        <w:rPr>
          <w:rFonts w:ascii="Arial" w:hAnsi="Arial"/>
          <w:color w:val="000000"/>
          <w:sz w:val="16"/>
        </w:rPr>
      </w:pPr>
      <w:r>
        <w:rPr>
          <w:rFonts w:ascii="Arial" w:hAnsi="Arial"/>
          <w:color w:val="000000"/>
          <w:sz w:val="16"/>
        </w:rPr>
        <w:t>32</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u w:val="single"/>
        </w:rPr>
      </w:pPr>
      <w:bookmarkStart w:id="18" w:name="ufi-ex10_1.htm"/>
      <w:bookmarkStart w:id="19" w:name="ksufiex10_1"/>
      <w:bookmarkEnd w:id="18"/>
      <w:bookmarkEnd w:id="19"/>
      <w:r>
        <w:rPr>
          <w:rFonts w:ascii="Arial" w:hAnsi="Arial"/>
          <w:color w:val="000000"/>
          <w:sz w:val="20"/>
          <w:u w:val="single"/>
        </w:rPr>
        <w:t>Exhibit 10.1</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[FORM OF] PERFORMANCE SHARE UNIT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Performance Share Unit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made by and between Unifi, Inc., a New York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[EMPLOYEE], a key employee (the “</w:t>
      </w:r>
      <w:r>
        <w:rPr>
          <w:rFonts w:ascii="Times New Roman" w:hAnsi="Times New Roman"/>
          <w:b/>
          <w:i/>
          <w:color w:val="000000"/>
          <w:sz w:val="24"/>
        </w:rPr>
        <w:t>Grantee</w:t>
      </w:r>
      <w:r>
        <w:rPr>
          <w:rFonts w:ascii="Times New Roman" w:hAnsi="Times New Roman"/>
          <w:color w:val="000000"/>
          <w:sz w:val="20"/>
        </w:rPr>
        <w:t>”</w:t>
      </w:r>
      <w:r>
        <w:rPr>
          <w:rFonts w:ascii="Times New Roman" w:hAnsi="Times New Roman"/>
          <w:color w:val="000000"/>
          <w:sz w:val="24"/>
        </w:rPr>
        <w:t>) of the Company.</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WITNESSETH:</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has adopted the Unifi, Inc. Second Amended and Restated 2013 Incentive Compensation Plan, which became effective on October 29, 2020 and was further amended effective October 31, 2023 and October 28, 2025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Compensation Committee (the “</w:t>
      </w:r>
      <w:r>
        <w:rPr>
          <w:rFonts w:ascii="Times New Roman" w:hAnsi="Times New Roman"/>
          <w:b/>
          <w:i/>
          <w:color w:val="000000"/>
          <w:sz w:val="24"/>
        </w:rPr>
        <w:t>Committee</w:t>
      </w:r>
      <w:r>
        <w:rPr>
          <w:rFonts w:ascii="Times New Roman" w:hAnsi="Times New Roman"/>
          <w:color w:val="000000"/>
          <w:sz w:val="20"/>
        </w:rPr>
        <w:t>”</w:t>
      </w:r>
      <w:r>
        <w:rPr>
          <w:rFonts w:ascii="Times New Roman" w:hAnsi="Times New Roman"/>
          <w:color w:val="000000"/>
          <w:sz w:val="24"/>
        </w:rPr>
        <w:t>) of 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of the Company has determined that it is desirable and in the best interests of the Company to grant to the Grantee Performance Share Units (“</w:t>
      </w:r>
      <w:r>
        <w:rPr>
          <w:rFonts w:ascii="Times New Roman" w:hAnsi="Times New Roman"/>
          <w:b/>
          <w:i/>
          <w:color w:val="000000"/>
          <w:sz w:val="24"/>
        </w:rPr>
        <w:t>PSUs</w:t>
      </w:r>
      <w:r>
        <w:rPr>
          <w:rFonts w:ascii="Times New Roman" w:hAnsi="Times New Roman"/>
          <w:color w:val="000000"/>
          <w:sz w:val="20"/>
        </w:rPr>
        <w:t>”</w:t>
      </w:r>
      <w:r>
        <w:rPr>
          <w:rFonts w:ascii="Times New Roman" w:hAnsi="Times New Roman"/>
          <w:color w:val="000000"/>
          <w:sz w:val="24"/>
        </w:rPr>
        <w:t>) as an incentive for the Grantee to advance the interests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the parties agree as follows: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1.</w:t>
      </w:r>
    </w:p>
    <w:p>
      <w:pPr>
        <w:pStyle w:val="TextBody"/>
        <w:bidi w:val="0"/>
        <w:jc w:val="both"/>
        <w:rPr/>
      </w:pPr>
      <w:r>
        <w:rPr>
          <w:rFonts w:ascii="Times New Roman" w:hAnsi="Times New Roman"/>
          <w:color w:val="000000"/>
          <w:sz w:val="24"/>
          <w:u w:val="single"/>
        </w:rPr>
        <w:t>Incorporation of Plan</w:t>
      </w:r>
      <w:r>
        <w:rPr>
          <w:rFonts w:ascii="Times New Roman" w:hAnsi="Times New Roman"/>
          <w:color w:val="000000"/>
          <w:sz w:val="24"/>
        </w:rPr>
        <w:t>. The Plan is incorporated by reference and made a part of this Agreement, and this Agreement shall be subject to the terms of the Plan, as the Plan may be amended from time to time, provided that any such amendment of the Plan must be made in accordance with Section 14 of the Plan. Unless otherwise defined herein, capitalized terms used in this Agreement shall have the meanings ascribed to them in the Plan.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2.</w:t>
      </w:r>
    </w:p>
    <w:p>
      <w:pPr>
        <w:pStyle w:val="TextBody"/>
        <w:bidi w:val="0"/>
        <w:jc w:val="both"/>
        <w:rPr/>
      </w:pPr>
      <w:r>
        <w:rPr>
          <w:rFonts w:ascii="Times New Roman" w:hAnsi="Times New Roman"/>
          <w:color w:val="000000"/>
          <w:sz w:val="24"/>
          <w:u w:val="single"/>
        </w:rPr>
        <w:t>Grant of PSU; Notice of Grant</w:t>
      </w:r>
      <w:r>
        <w:rPr>
          <w:rFonts w:ascii="Times New Roman" w:hAnsi="Times New Roman"/>
          <w:color w:val="000000"/>
          <w:sz w:val="24"/>
        </w:rPr>
        <w:t>. Pursuant to the Plan and subject to the terms and conditions set forth herein and therein, the Company has granted to the “</w:t>
      </w:r>
      <w:r>
        <w:rPr>
          <w:rFonts w:ascii="Times New Roman" w:hAnsi="Times New Roman"/>
          <w:b/>
          <w:i/>
          <w:color w:val="000000"/>
          <w:sz w:val="24"/>
        </w:rPr>
        <w:t>Grantee</w:t>
      </w:r>
      <w:r>
        <w:rPr>
          <w:rFonts w:ascii="Times New Roman" w:hAnsi="Times New Roman"/>
          <w:color w:val="000000"/>
          <w:sz w:val="24"/>
        </w:rPr>
        <w:t>,” and effective as of the “</w:t>
      </w:r>
      <w:r>
        <w:rPr>
          <w:rFonts w:ascii="Times New Roman" w:hAnsi="Times New Roman"/>
          <w:b/>
          <w:i/>
          <w:color w:val="000000"/>
          <w:sz w:val="24"/>
        </w:rPr>
        <w:t>Grant Date</w:t>
      </w:r>
      <w:r>
        <w:rPr>
          <w:rFonts w:ascii="Times New Roman" w:hAnsi="Times New Roman"/>
          <w:color w:val="000000"/>
          <w:sz w:val="24"/>
        </w:rPr>
        <w:t xml:space="preserve">,” a certain number of PSUs, all as set forth in Section 3(c) of this Agreement and on the Notice of Grant attached hereto as </w:t>
      </w:r>
      <w:r>
        <w:rPr>
          <w:rFonts w:ascii="Times New Roman" w:hAnsi="Times New Roman"/>
          <w:color w:val="000000"/>
          <w:sz w:val="24"/>
          <w:u w:val="single"/>
        </w:rPr>
        <w:t>Annex A</w:t>
      </w:r>
      <w:r>
        <w:rPr>
          <w:rFonts w:ascii="Times New Roman" w:hAnsi="Times New Roman"/>
          <w:color w:val="000000"/>
          <w:sz w:val="24"/>
        </w:rPr>
        <w:t xml:space="preserve">, which Notice of Grant is incorporated by reference herein.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3.</w:t>
      </w:r>
    </w:p>
    <w:p>
      <w:pPr>
        <w:pStyle w:val="TextBody"/>
        <w:bidi w:val="0"/>
        <w:jc w:val="both"/>
        <w:rPr/>
      </w:pPr>
      <w:r>
        <w:rPr>
          <w:rFonts w:ascii="Times New Roman" w:hAnsi="Times New Roman"/>
          <w:color w:val="000000"/>
          <w:sz w:val="24"/>
          <w:u w:val="single"/>
        </w:rPr>
        <w:t>Terms of PSUs</w:t>
      </w:r>
      <w:r>
        <w:rPr>
          <w:rFonts w:ascii="Times New Roman" w:hAnsi="Times New Roman"/>
          <w:color w:val="000000"/>
          <w:sz w:val="24"/>
        </w:rPr>
        <w:t>. The PSUs granted under this Agreement are subject to the following terms, conditions and restrictions: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No Ownership</w:t>
      </w:r>
      <w:r>
        <w:rPr>
          <w:rFonts w:ascii="Times New Roman" w:hAnsi="Times New Roman"/>
          <w:color w:val="000000"/>
          <w:sz w:val="24"/>
        </w:rPr>
        <w:t>. The Grantee shall not possess any incidents of ownership (including, without limitation, dividend and voting rights) in shares of the Company Stock in respect of the PSUs until such PSUs have been converted into shares of Company Stock and such shares have been distributed to the Grantee in the form of shares of Company Stock.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Transfer of PSUs</w:t>
      </w:r>
      <w:r>
        <w:rPr>
          <w:rFonts w:ascii="Times New Roman" w:hAnsi="Times New Roman"/>
          <w:color w:val="000000"/>
          <w:sz w:val="24"/>
        </w:rPr>
        <w:t xml:space="preserve">. Except as provided in this </w:t>
      </w:r>
      <w:r>
        <w:rPr>
          <w:rFonts w:ascii="Times New Roman" w:hAnsi="Times New Roman"/>
          <w:color w:val="000000"/>
          <w:sz w:val="24"/>
          <w:u w:val="single"/>
        </w:rPr>
        <w:t>Section 3(b)</w:t>
      </w:r>
      <w:r>
        <w:rPr>
          <w:rFonts w:ascii="Times New Roman" w:hAnsi="Times New Roman"/>
          <w:color w:val="000000"/>
          <w:sz w:val="24"/>
        </w:rPr>
        <w:t>, the PSUs and any interest therein may not be sold, assigned, transferred, pledged, hypothecated or otherwise disposed of, except by will or the laws of descent and distribution and subject to the conditions set forth in the Plan and this Agreement. Any attempt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transfer PSUs in contravention of this Section is void </w:t>
      </w:r>
      <w:r>
        <w:rPr>
          <w:rFonts w:ascii="Times New Roman" w:hAnsi="Times New Roman"/>
          <w:color w:val="000000"/>
          <w:sz w:val="24"/>
          <w:u w:val="single"/>
        </w:rPr>
        <w:t>ab initio</w:t>
      </w:r>
      <w:r>
        <w:rPr>
          <w:rFonts w:ascii="Times New Roman" w:hAnsi="Times New Roman"/>
          <w:color w:val="000000"/>
          <w:sz w:val="24"/>
        </w:rPr>
        <w:t>. PSUs shall not be subject to execution, attachment or other process.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Vesting and Conversion of PSUs</w:t>
      </w:r>
      <w:r>
        <w:rPr>
          <w:rFonts w:ascii="Times New Roman" w:hAnsi="Times New Roman"/>
          <w:color w:val="000000"/>
          <w:sz w:val="24"/>
        </w:rPr>
        <w:t xml:space="preserve">. The PSUs granted under this Agreement shall be subject to a graded vesting over a [____] year term, with performance periods and vesting terms presented below and in </w:t>
      </w:r>
      <w:r>
        <w:rPr>
          <w:rFonts w:ascii="Times New Roman" w:hAnsi="Times New Roman"/>
          <w:color w:val="000000"/>
          <w:sz w:val="24"/>
          <w:u w:val="single"/>
        </w:rPr>
        <w:t>Annex A</w:t>
      </w:r>
      <w:r>
        <w:rPr>
          <w:rFonts w:ascii="Times New Roman" w:hAnsi="Times New Roman"/>
          <w:color w:val="000000"/>
          <w:sz w:val="24"/>
        </w:rPr>
        <w:t>, such that a percentage of the target number of PSUs available for vesting for the applicable “</w:t>
      </w:r>
      <w:r>
        <w:rPr>
          <w:rFonts w:ascii="Times New Roman" w:hAnsi="Times New Roman"/>
          <w:b/>
          <w:i/>
          <w:color w:val="000000"/>
          <w:sz w:val="24"/>
        </w:rPr>
        <w:t>Performance Period</w:t>
      </w:r>
      <w:r>
        <w:rPr>
          <w:rFonts w:ascii="Times New Roman" w:hAnsi="Times New Roman"/>
          <w:color w:val="000000"/>
          <w:sz w:val="20"/>
        </w:rPr>
        <w:t xml:space="preserve">“ </w:t>
      </w:r>
      <w:r>
        <w:rPr>
          <w:rFonts w:ascii="Times New Roman" w:hAnsi="Times New Roman"/>
          <w:color w:val="000000"/>
          <w:sz w:val="24"/>
        </w:rPr>
        <w:t>listed below will become vested on the applicable “</w:t>
      </w:r>
      <w:r>
        <w:rPr>
          <w:rFonts w:ascii="Times New Roman" w:hAnsi="Times New Roman"/>
          <w:b/>
          <w:i/>
          <w:color w:val="000000"/>
          <w:sz w:val="24"/>
        </w:rPr>
        <w:t>Vesting Date</w:t>
      </w:r>
      <w:r>
        <w:rPr>
          <w:rFonts w:ascii="Times New Roman" w:hAnsi="Times New Roman"/>
          <w:color w:val="000000"/>
          <w:sz w:val="20"/>
        </w:rPr>
        <w:t xml:space="preserve">” </w:t>
      </w:r>
      <w:r>
        <w:rPr>
          <w:rFonts w:ascii="Times New Roman" w:hAnsi="Times New Roman"/>
          <w:color w:val="000000"/>
          <w:sz w:val="24"/>
        </w:rPr>
        <w:t>listed below based on the Company’s performance during the applicable Performance Period, subject in each case to (i) certification by the Committee of the level of achievement of the applicable performance goal(s) for such Performance Period, and (ii) the Grantee’s continued employment with the Company through the applicable Vesting Date</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70"/>
        <w:gridCol w:w="2683"/>
        <w:gridCol w:w="3309"/>
        <w:gridCol w:w="1343"/>
      </w:tblGrid>
      <w:tr>
        <w:trPr/>
        <w:tc>
          <w:tcPr>
            <w:tcW w:w="2870"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309"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287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Performance Period Beginning Date</w:t>
            </w:r>
          </w:p>
        </w:tc>
        <w:tc>
          <w:tcPr>
            <w:tcW w:w="268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Performance Period Ending Date</w:t>
            </w:r>
          </w:p>
        </w:tc>
        <w:tc>
          <w:tcPr>
            <w:tcW w:w="330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Target Number of PSUs Available for Vesting</w:t>
            </w:r>
          </w:p>
        </w:tc>
        <w:tc>
          <w:tcPr>
            <w:tcW w:w="1343"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120"/>
              <w:jc w:val="center"/>
              <w:rPr/>
            </w:pPr>
            <w:r>
              <w:rPr/>
              <w:t> </w:t>
            </w:r>
          </w:p>
          <w:p>
            <w:pPr>
              <w:pStyle w:val="TableContents"/>
              <w:bidi w:val="0"/>
              <w:spacing w:before="0" w:after="120"/>
              <w:jc w:val="center"/>
              <w:rPr>
                <w:rFonts w:ascii="Times New Roman" w:hAnsi="Times New Roman"/>
                <w:b/>
                <w:color w:val="000000"/>
                <w:sz w:val="24"/>
              </w:rPr>
            </w:pPr>
            <w:r>
              <w:rPr>
                <w:rFonts w:ascii="Times New Roman" w:hAnsi="Times New Roman"/>
                <w:b/>
                <w:color w:val="000000"/>
                <w:sz w:val="24"/>
              </w:rPr>
              <w:t>Vesting Date</w:t>
            </w:r>
          </w:p>
        </w:tc>
      </w:tr>
      <w:tr>
        <w:trPr/>
        <w:tc>
          <w:tcPr>
            <w:tcW w:w="287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c>
          <w:tcPr>
            <w:tcW w:w="268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c>
          <w:tcPr>
            <w:tcW w:w="33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c>
          <w:tcPr>
            <w:tcW w:w="13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r>
      <w:tr>
        <w:trPr/>
        <w:tc>
          <w:tcPr>
            <w:tcW w:w="287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c>
          <w:tcPr>
            <w:tcW w:w="268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c>
          <w:tcPr>
            <w:tcW w:w="33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c>
          <w:tcPr>
            <w:tcW w:w="13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r>
      <w:tr>
        <w:trPr/>
        <w:tc>
          <w:tcPr>
            <w:tcW w:w="2870"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c>
          <w:tcPr>
            <w:tcW w:w="268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c>
          <w:tcPr>
            <w:tcW w:w="330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c>
          <w:tcPr>
            <w:tcW w:w="1343"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60" w:after="60"/>
              <w:jc w:val="center"/>
              <w:rPr>
                <w:rFonts w:ascii="Times New Roman" w:hAnsi="Times New Roman"/>
                <w:color w:val="000000"/>
                <w:sz w:val="24"/>
              </w:rPr>
            </w:pPr>
            <w:r>
              <w:rPr>
                <w:rFonts w:ascii="Times New Roman" w:hAnsi="Times New Roman"/>
                <w:color w:val="000000"/>
                <w:sz w:val="24"/>
              </w:rPr>
              <w:t>[___________]</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On the applicable Vesting Date, the vested PSUs shall be converted into an equivalent number of shares of Company Stock, and all such shares of Company Stock will be distributed to the Grantee within 75 days following such Vesting Date, subject to the following possible deferral election by the Grantee. The Grantee may irrevocably elect, on or before</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Deferral Election Date</w:t>
      </w:r>
      <w:r>
        <w:rPr>
          <w:rFonts w:ascii="Times New Roman" w:hAnsi="Times New Roman"/>
          <w:color w:val="000000"/>
          <w:sz w:val="20"/>
        </w:rPr>
        <w:t xml:space="preserve">” </w:t>
      </w:r>
      <w:r>
        <w:rPr>
          <w:rFonts w:ascii="Times New Roman" w:hAnsi="Times New Roman"/>
          <w:color w:val="000000"/>
          <w:sz w:val="24"/>
        </w:rPr>
        <w:t xml:space="preserve">indicated on </w:t>
      </w:r>
      <w:r>
        <w:rPr>
          <w:rFonts w:ascii="Times New Roman" w:hAnsi="Times New Roman"/>
          <w:color w:val="000000"/>
          <w:sz w:val="24"/>
          <w:u w:val="single"/>
        </w:rPr>
        <w:t>Annex A</w:t>
      </w:r>
      <w:r>
        <w:rPr>
          <w:rFonts w:ascii="Times New Roman" w:hAnsi="Times New Roman"/>
          <w:color w:val="000000"/>
          <w:sz w:val="24"/>
        </w:rPr>
        <w:t xml:space="preserve">, to instead receive distributions of shares of Company Stock upon the Grantee’s “separation from service” (as such term is defined in Section 409A and described in </w:t>
      </w:r>
      <w:r>
        <w:rPr>
          <w:rFonts w:ascii="Times New Roman" w:hAnsi="Times New Roman"/>
          <w:color w:val="000000"/>
          <w:sz w:val="24"/>
          <w:u w:val="single"/>
        </w:rPr>
        <w:t>Section 7</w:t>
      </w:r>
      <w:r>
        <w:rPr>
          <w:rFonts w:ascii="Times New Roman" w:hAnsi="Times New Roman"/>
          <w:color w:val="000000"/>
          <w:sz w:val="24"/>
        </w:rPr>
        <w:t>, a “</w:t>
      </w:r>
      <w:r>
        <w:rPr>
          <w:rFonts w:ascii="Times New Roman" w:hAnsi="Times New Roman"/>
          <w:b/>
          <w:i/>
          <w:color w:val="000000"/>
          <w:sz w:val="24"/>
        </w:rPr>
        <w:t>Separation from Service</w:t>
      </w:r>
      <w:r>
        <w:rPr>
          <w:rFonts w:ascii="Times New Roman" w:hAnsi="Times New Roman"/>
          <w:color w:val="000000"/>
          <w:sz w:val="20"/>
        </w:rPr>
        <w:t>”</w:t>
      </w:r>
      <w:r>
        <w:rPr>
          <w:rFonts w:ascii="Times New Roman" w:hAnsi="Times New Roman"/>
          <w:color w:val="000000"/>
          <w:sz w:val="24"/>
        </w:rPr>
        <w:t xml:space="preserve">), in either a single distribution or substantially equal annual distributions over a period of up to five years following the Grantee’s Separation from Service. Such an election must be made by completing and submitting to the Company a Deferral Election Form in substantially the form included as part of </w:t>
      </w:r>
      <w:r>
        <w:rPr>
          <w:rFonts w:ascii="Times New Roman" w:hAnsi="Times New Roman"/>
          <w:color w:val="000000"/>
          <w:sz w:val="24"/>
          <w:u w:val="single"/>
        </w:rPr>
        <w:t>Annex B</w:t>
      </w:r>
      <w:r>
        <w:rPr>
          <w:rFonts w:ascii="Times New Roman" w:hAnsi="Times New Roman"/>
          <w:color w:val="000000"/>
          <w:sz w:val="20"/>
        </w:rPr>
        <w:t xml:space="preserve"> </w:t>
      </w:r>
      <w:r>
        <w:rPr>
          <w:rFonts w:ascii="Times New Roman" w:hAnsi="Times New Roman"/>
          <w:color w:val="000000"/>
          <w:sz w:val="24"/>
        </w:rPr>
        <w:t>hereto.</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Upon any distribution of shares of Company Stock in respect of the PSUs, the Company shall (i) issue (or make available via electronic means) to the Grantee or the Grantee’s personal representative a stock certificate representing such shares of Company Stock, or (ii) cause such number of shares to be registered in the name of the Grantee or the Grantee’s personal representative via a book-entry or other share registry process that is effective to constitute the uncertificated delivery thereof, in either case free of any restrictions.</w:t>
      </w:r>
      <w:r>
        <w:rPr>
          <w:rFonts w:ascii="Times New Roman" w:hAnsi="Times New Roman"/>
          <w:color w:val="000000"/>
          <w:sz w:val="20"/>
        </w:rPr>
        <w:t xml:space="preserve"> </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Additional Vesting Provisions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If, prior to a Vesting Date, the Grantee dies or has a Separation from Service as a result of Disability, a </w:t>
      </w:r>
      <w:r>
        <w:rPr>
          <w:rFonts w:ascii="Times New Roman" w:hAnsi="Times New Roman"/>
          <w:i/>
          <w:color w:val="000000"/>
          <w:sz w:val="24"/>
        </w:rPr>
        <w:t xml:space="preserve">pro rata </w:t>
      </w:r>
      <w:r>
        <w:rPr>
          <w:rFonts w:ascii="Times New Roman" w:hAnsi="Times New Roman"/>
          <w:color w:val="000000"/>
          <w:sz w:val="24"/>
        </w:rPr>
        <w:t xml:space="preserve">portion, as determined on a </w:t>
      </w:r>
      <w:r>
        <w:rPr>
          <w:rFonts w:ascii="Times New Roman" w:hAnsi="Times New Roman"/>
          <w:i/>
          <w:color w:val="000000"/>
          <w:sz w:val="24"/>
        </w:rPr>
        <w:t xml:space="preserve">per diem </w:t>
      </w:r>
      <w:r>
        <w:rPr>
          <w:rFonts w:ascii="Times New Roman" w:hAnsi="Times New Roman"/>
          <w:color w:val="000000"/>
          <w:sz w:val="24"/>
        </w:rPr>
        <w:t>basis for the portion of the applicable Performance Period for such Vesting Date that Grantee was in the continuous employment of the Company multiplied by the target number of PSUs available for vesting for such Performance Period as set forth in Section 3(c) of this Agreement (the “</w:t>
      </w:r>
      <w:r>
        <w:rPr>
          <w:rFonts w:ascii="Times New Roman" w:hAnsi="Times New Roman"/>
          <w:b/>
          <w:i/>
          <w:color w:val="000000"/>
          <w:sz w:val="24"/>
        </w:rPr>
        <w:t>Target Number</w:t>
      </w:r>
      <w:r>
        <w:rPr>
          <w:rFonts w:ascii="Times New Roman" w:hAnsi="Times New Roman"/>
          <w:color w:val="000000"/>
          <w:sz w:val="20"/>
        </w:rPr>
        <w:t>”</w:t>
      </w:r>
      <w:r>
        <w:rPr>
          <w:rFonts w:ascii="Times New Roman" w:hAnsi="Times New Roman"/>
          <w:color w:val="000000"/>
          <w:sz w:val="24"/>
        </w:rPr>
        <w:t>), of PSUs shall become fully vested, converted into an equivalent number of shares of Company Stock and distributed to the Grantee in a single distribution within 30 days following the Grantee’s death or such Separation from Service, as the case may be, in either case without regard to any distribution deferral election.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(ii) If, prior to a Vesting Date, the Grantee has a Separation from Service due to the Grantee’s Retirement, the Committee may elect to award a </w:t>
      </w:r>
      <w:r>
        <w:rPr>
          <w:rFonts w:ascii="Times New Roman" w:hAnsi="Times New Roman"/>
          <w:i/>
          <w:color w:val="000000"/>
          <w:sz w:val="24"/>
        </w:rPr>
        <w:t xml:space="preserve">pro rata </w:t>
      </w:r>
      <w:r>
        <w:rPr>
          <w:rFonts w:ascii="Times New Roman" w:hAnsi="Times New Roman"/>
          <w:color w:val="000000"/>
          <w:sz w:val="24"/>
        </w:rPr>
        <w:t xml:space="preserve">portion, as determined on a </w:t>
      </w:r>
      <w:r>
        <w:rPr>
          <w:rFonts w:ascii="Times New Roman" w:hAnsi="Times New Roman"/>
          <w:i/>
          <w:color w:val="000000"/>
          <w:sz w:val="24"/>
        </w:rPr>
        <w:t xml:space="preserve">per diem </w:t>
      </w:r>
      <w:r>
        <w:rPr>
          <w:rFonts w:ascii="Times New Roman" w:hAnsi="Times New Roman"/>
          <w:color w:val="000000"/>
          <w:sz w:val="24"/>
        </w:rPr>
        <w:t xml:space="preserve">basis for the portion of the applicable Performance Period for such Vesting Date that Grantee was in the continuous employment of the Company, of the number of PSUs that would have become vested PSUs (if the Grantee’s employment had continued to the Vesting Date) pursuant to the performance criteria described in </w:t>
      </w:r>
      <w:r>
        <w:rPr>
          <w:rFonts w:ascii="Times New Roman" w:hAnsi="Times New Roman"/>
          <w:color w:val="000000"/>
          <w:sz w:val="24"/>
          <w:u w:val="single"/>
        </w:rPr>
        <w:t>Annex A</w:t>
      </w:r>
      <w:r>
        <w:rPr>
          <w:rFonts w:ascii="Times New Roman" w:hAnsi="Times New Roman"/>
          <w:color w:val="000000"/>
          <w:sz w:val="20"/>
        </w:rPr>
        <w:t xml:space="preserve"> </w:t>
      </w:r>
      <w:r>
        <w:rPr>
          <w:rFonts w:ascii="Times New Roman" w:hAnsi="Times New Roman"/>
          <w:color w:val="000000"/>
          <w:sz w:val="24"/>
        </w:rPr>
        <w:t xml:space="preserve">and such PSUs shall be converted into an equivalent number of shares of Company Stock and distributed to the Grantee in accordance with the Grantee’s Deferral Election Form, attached hereto as </w:t>
      </w:r>
      <w:r>
        <w:rPr>
          <w:rFonts w:ascii="Times New Roman" w:hAnsi="Times New Roman"/>
          <w:color w:val="000000"/>
          <w:sz w:val="24"/>
          <w:u w:val="single"/>
        </w:rPr>
        <w:t>Annex B.</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(iii) If, after the Grantee attains age 65 but prior to a Vesting Date, the Grantee has a Separation from Service due to an involuntary termination by the Company without Cause (as defined below), the Grantee shall vest in a </w:t>
      </w:r>
      <w:r>
        <w:rPr>
          <w:rFonts w:ascii="Times New Roman" w:hAnsi="Times New Roman"/>
          <w:i/>
          <w:color w:val="000000"/>
          <w:sz w:val="24"/>
        </w:rPr>
        <w:t xml:space="preserve">pro rata </w:t>
      </w:r>
      <w:r>
        <w:rPr>
          <w:rFonts w:ascii="Times New Roman" w:hAnsi="Times New Roman"/>
          <w:color w:val="000000"/>
          <w:sz w:val="24"/>
        </w:rPr>
        <w:t xml:space="preserve">portion, as determined on a </w:t>
      </w:r>
      <w:r>
        <w:rPr>
          <w:rFonts w:ascii="Times New Roman" w:hAnsi="Times New Roman"/>
          <w:i/>
          <w:color w:val="000000"/>
          <w:sz w:val="24"/>
        </w:rPr>
        <w:t xml:space="preserve">per diem </w:t>
      </w:r>
      <w:r>
        <w:rPr>
          <w:rFonts w:ascii="Times New Roman" w:hAnsi="Times New Roman"/>
          <w:color w:val="000000"/>
          <w:sz w:val="24"/>
        </w:rPr>
        <w:t xml:space="preserve">basis for the portion of the applicable Performance Period for such Vesting Date that Grantee was in the continuous employment of the Company, of the number of PSUs that would have become vested PSUs (if the Grantee’s employment had continued to the Vesting Date) pursuant to the performance criteria described in </w:t>
      </w:r>
      <w:r>
        <w:rPr>
          <w:rFonts w:ascii="Times New Roman" w:hAnsi="Times New Roman"/>
          <w:color w:val="000000"/>
          <w:sz w:val="24"/>
          <w:u w:val="single"/>
        </w:rPr>
        <w:t>Annex A</w:t>
      </w:r>
      <w:r>
        <w:rPr>
          <w:rFonts w:ascii="Times New Roman" w:hAnsi="Times New Roman"/>
          <w:color w:val="000000"/>
          <w:sz w:val="20"/>
        </w:rPr>
        <w:t xml:space="preserve"> </w:t>
      </w:r>
      <w:r>
        <w:rPr>
          <w:rFonts w:ascii="Times New Roman" w:hAnsi="Times New Roman"/>
          <w:color w:val="000000"/>
          <w:sz w:val="24"/>
        </w:rPr>
        <w:t xml:space="preserve">and such PSUs shall be converted into an equivalent number of shares of Company Stock and distributed to the Grantee in accordance with the Grantee’s Deferral Election Form, attached hereto as </w:t>
      </w:r>
      <w:r>
        <w:rPr>
          <w:rFonts w:ascii="Times New Roman" w:hAnsi="Times New Roman"/>
          <w:color w:val="000000"/>
          <w:sz w:val="24"/>
          <w:u w:val="single"/>
        </w:rPr>
        <w:t>Annex B</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(iv) If, prior to the Vesting Date, Grantee has a Separation from Service for any reason not covered in </w:t>
      </w:r>
      <w:r>
        <w:rPr>
          <w:rFonts w:ascii="Times New Roman" w:hAnsi="Times New Roman"/>
          <w:color w:val="000000"/>
          <w:sz w:val="24"/>
          <w:u w:val="single"/>
        </w:rPr>
        <w:t>Section 3(d)(i)</w:t>
      </w:r>
      <w:r>
        <w:rPr>
          <w:rFonts w:ascii="Times New Roman" w:hAnsi="Times New Roman"/>
          <w:color w:val="000000"/>
          <w:sz w:val="24"/>
        </w:rPr>
        <w:t xml:space="preserve">, </w:t>
      </w:r>
      <w:r>
        <w:rPr>
          <w:rFonts w:ascii="Times New Roman" w:hAnsi="Times New Roman"/>
          <w:color w:val="000000"/>
          <w:sz w:val="24"/>
          <w:u w:val="single"/>
        </w:rPr>
        <w:t>Section 3(d)(ii)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3(d)(iii)</w:t>
      </w:r>
      <w:r>
        <w:rPr>
          <w:rFonts w:ascii="Times New Roman" w:hAnsi="Times New Roman"/>
          <w:color w:val="000000"/>
          <w:sz w:val="20"/>
        </w:rPr>
        <w:t xml:space="preserve"> </w:t>
      </w:r>
      <w:r>
        <w:rPr>
          <w:rFonts w:ascii="Times New Roman" w:hAnsi="Times New Roman"/>
          <w:color w:val="000000"/>
          <w:sz w:val="24"/>
        </w:rPr>
        <w:t>above, then the Grantee shall forfeit the PSUs and shall not be entitled to receive any shares of Company Stock under this Agreement with respect to such forfeited PSUs.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(v) Notwithstanding the foregoing, the Grantee shall immediately forfeit all PSUs (whether or not vested) and any underlying shares of Company Stock for which distribution has been deferred pursuant to </w:t>
      </w:r>
      <w:r>
        <w:rPr>
          <w:rFonts w:ascii="Times New Roman" w:hAnsi="Times New Roman"/>
          <w:color w:val="000000"/>
          <w:sz w:val="24"/>
          <w:u w:val="single"/>
        </w:rPr>
        <w:t>Section 3(c)</w:t>
      </w:r>
      <w:r>
        <w:rPr>
          <w:rFonts w:ascii="Times New Roman" w:hAnsi="Times New Roman"/>
          <w:color w:val="000000"/>
          <w:sz w:val="20"/>
        </w:rPr>
        <w:t xml:space="preserve"> </w:t>
      </w:r>
      <w:r>
        <w:rPr>
          <w:rFonts w:ascii="Times New Roman" w:hAnsi="Times New Roman"/>
          <w:color w:val="000000"/>
          <w:sz w:val="24"/>
        </w:rPr>
        <w:t>upon the Grantee’s Separation from Service for Cause, whether before or after the Vesting Date.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(vi) In the event of a Change in Control (as defined in the Plan), the Target Number of PSUs for all unexpired Performance Periods shall become fully vested,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and such PSUs shall be converted into shares of Company Stock and distributed to the Grantee in a single distribution within 30 days following the Change in Control, without regard to any distribution deferral election.</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(vii) For purposes of this Agreement, “</w:t>
      </w:r>
      <w:r>
        <w:rPr>
          <w:rFonts w:ascii="Times New Roman" w:hAnsi="Times New Roman"/>
          <w:b/>
          <w:i/>
          <w:color w:val="000000"/>
          <w:sz w:val="24"/>
        </w:rPr>
        <w:t>Cause</w:t>
      </w:r>
      <w:r>
        <w:rPr>
          <w:rFonts w:ascii="Times New Roman" w:hAnsi="Times New Roman"/>
          <w:color w:val="000000"/>
          <w:sz w:val="20"/>
        </w:rPr>
        <w:t xml:space="preserve">” </w:t>
      </w:r>
      <w:r>
        <w:rPr>
          <w:rFonts w:ascii="Times New Roman" w:hAnsi="Times New Roman"/>
          <w:color w:val="000000"/>
          <w:sz w:val="24"/>
        </w:rPr>
        <w:t>means any of the following, as determined in good faith by the Committee: (A) an act of embezzlement, theft or misappropriation by the Grantee of any property of the Company or any Related Company; (B) any breach by the Grantee of any material provision of any material agreement to which the Grantee is a party with the Company or any Related Company that is not cured, to the extent the breach is susceptible to being cured, within fourteen (14) days after the Company gives express notice to the Grantee describing such breach; (C) gross negligence by the Grantee in the discharge of his or her lawful duties to the Company or any Related Company (after receiving express notice from the Company specifying the manner in which he or she is alleged to have been grossly negligent and having had the opportunity to cure the same within thirty (30) days from receipt of such notice); (D) any act by the Grantee constituting a felony or a crime that otherwise involves dishonesty or misrepresentation; (E) the Grantee’s breach of any fiduciary duty, under applicable law, to the Company or any Related Company, regardless of whether such conduct constitutes gross negligence; or (F) any chemical or alcohol dependence by the Grantee that materially and adversely affects the performance of his or her duties or responsibilities to the Company or any Related Company.</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4.</w:t>
      </w:r>
    </w:p>
    <w:p>
      <w:pPr>
        <w:pStyle w:val="TextBody"/>
        <w:bidi w:val="0"/>
        <w:jc w:val="both"/>
        <w:rPr/>
      </w:pPr>
      <w:r>
        <w:rPr>
          <w:rFonts w:ascii="Times New Roman" w:hAnsi="Times New Roman"/>
          <w:color w:val="000000"/>
          <w:sz w:val="24"/>
          <w:u w:val="single"/>
        </w:rPr>
        <w:t>Equitable Adjustment</w:t>
      </w:r>
      <w:r>
        <w:rPr>
          <w:rFonts w:ascii="Times New Roman" w:hAnsi="Times New Roman"/>
          <w:color w:val="000000"/>
          <w:sz w:val="24"/>
        </w:rPr>
        <w:t>. The aggregate number of shares of Company Stock subject to the PSUs shall be proportionately adjusted for any increase or decrease in the number of issued and outstanding shares of Company Stock resulting from a subdivision or consolidation of shares or other capital adjustment, or the payment of a stock dividend or other increase or decrease in such shares, effected without the receipt of consideration by the Company, or other change in corporate or capital structure. The Committee shall make the foregoing changes and any other changes, including changes in the classes of securities available, to the extent reasonably necessary or desirable to preserve the intended benefits under this Agreement in the event of any other reorganization, recapitalization, merger, consolidation, spin-off, extraordinary dividend or other distribution or similar transaction involving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5.</w:t>
      </w:r>
    </w:p>
    <w:p>
      <w:pPr>
        <w:pStyle w:val="TextBody"/>
        <w:bidi w:val="0"/>
        <w:jc w:val="both"/>
        <w:rPr/>
      </w:pPr>
      <w:r>
        <w:rPr>
          <w:rFonts w:ascii="Times New Roman" w:hAnsi="Times New Roman"/>
          <w:color w:val="000000"/>
          <w:sz w:val="24"/>
          <w:u w:val="single"/>
        </w:rPr>
        <w:t>Taxes</w:t>
      </w:r>
      <w:r>
        <w:rPr>
          <w:rFonts w:ascii="Times New Roman" w:hAnsi="Times New Roman"/>
          <w:color w:val="000000"/>
          <w:sz w:val="24"/>
        </w:rPr>
        <w:t xml:space="preserve">. The Grantee, upon the distribution of the PSUs, shall pay to the Company in cash the amount of any Applicable Withholding Taxes as provided in the Plan. Notwithstanding the foregoing, the Grantee may satisfy the Applicable Withholding Taxes in whole or in part, by electing (a) to deliver to the Company shares of Company Stock owned by the Grantee at the time of the distribution, (b) to have the Company withhold a portion of the PSUs to which the Grantee would otherwise be entitled or (c) a combination of the foregoing. In the event that the Grantee does not notify the Company of the Grantee’s preferred method of satisfaction of the Applicable Withholding Taxes for the Vesting Date prior to the Vesting Date, the Company shall withhold a portion of the PSUs vesting on the Vesting Date to satisfy such Applicable Withholding Taxes. Any shares of Company Stock delivered or to be withheld in satisfaction of any tax obligation of the Grantee shall have a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rFonts w:ascii="Times New Roman" w:hAnsi="Times New Roman"/>
          <w:color w:val="000000"/>
          <w:sz w:val="24"/>
        </w:rPr>
        <w:t>value equal to their Fair Market Value on the day the PSUs are distributed, as provided in the Plan.</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6.</w:t>
      </w:r>
    </w:p>
    <w:p>
      <w:pPr>
        <w:pStyle w:val="TextBody"/>
        <w:bidi w:val="0"/>
        <w:jc w:val="both"/>
        <w:rPr/>
      </w:pPr>
      <w:r>
        <w:rPr>
          <w:rFonts w:ascii="Times New Roman" w:hAnsi="Times New Roman"/>
          <w:color w:val="000000"/>
          <w:sz w:val="24"/>
          <w:u w:val="single"/>
        </w:rPr>
        <w:t>No Right to Continued Employment</w:t>
      </w:r>
      <w:r>
        <w:rPr>
          <w:rFonts w:ascii="Times New Roman" w:hAnsi="Times New Roman"/>
          <w:color w:val="000000"/>
          <w:sz w:val="24"/>
        </w:rPr>
        <w:t>. Nothing contained herein shall be deemed to confer upon the Grantee any right to continue in the employment of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7.</w:t>
      </w:r>
    </w:p>
    <w:p>
      <w:pPr>
        <w:pStyle w:val="TextBody"/>
        <w:bidi w:val="0"/>
        <w:jc w:val="both"/>
        <w:rPr/>
      </w:pPr>
      <w:r>
        <w:rPr>
          <w:rFonts w:ascii="Times New Roman" w:hAnsi="Times New Roman"/>
          <w:color w:val="000000"/>
          <w:sz w:val="24"/>
          <w:u w:val="single"/>
        </w:rPr>
        <w:t>Section 409A</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 It is intended that this Agreement comply in all respects with the requirements of Section 409A of the Code and applicable Treasury Regulations and other generally applicable guidance issued thereunder (collectively, “</w:t>
      </w:r>
      <w:r>
        <w:rPr>
          <w:rFonts w:ascii="Times New Roman" w:hAnsi="Times New Roman"/>
          <w:b/>
          <w:i/>
          <w:color w:val="000000"/>
          <w:sz w:val="24"/>
        </w:rPr>
        <w:t>Section 409A</w:t>
      </w:r>
      <w:r>
        <w:rPr>
          <w:rFonts w:ascii="Times New Roman" w:hAnsi="Times New Roman"/>
          <w:color w:val="000000"/>
          <w:sz w:val="20"/>
        </w:rPr>
        <w:t>”</w:t>
      </w:r>
      <w:r>
        <w:rPr>
          <w:rFonts w:ascii="Times New Roman" w:hAnsi="Times New Roman"/>
          <w:color w:val="000000"/>
          <w:sz w:val="24"/>
        </w:rPr>
        <w:t>), and this Agreement shall be interpreted for all purposes in accordance with this intent.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Notwithstanding any other term or provision of this Agreement (including any term or provision of the Plan incorporated herein by reference), the parties hereto agree that, from time to time, the Company may, without prior notice to or consent of the Grantee, amend this Agreement to the extent determined by the Company, in the exercise of its discretion in good faith, to be necessary or advisable to prevent the inclusion in the Grantee’s gross income pursuant to the applicable Treasury Regulations of any compensation intended to be deferred hereunder. The Company shall notify the Grantee as soon as reasonably practicable of any such amendment affecting the Grantee.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(c) If the amounts payable under this Agreement are subject to any taxes, penalties or interest under Section 409A, the Grantee shall be solely liable for the payment of any such taxes, penalties or interest.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(d) Except as otherwise specifically provided herein, the time and method for payment of the PSUs as provided in </w:t>
      </w:r>
      <w:r>
        <w:rPr>
          <w:rFonts w:ascii="Times New Roman" w:hAnsi="Times New Roman"/>
          <w:color w:val="000000"/>
          <w:sz w:val="24"/>
          <w:u w:val="single"/>
        </w:rPr>
        <w:t>Section 3</w:t>
      </w:r>
      <w:r>
        <w:rPr>
          <w:rFonts w:ascii="Times New Roman" w:hAnsi="Times New Roman"/>
          <w:color w:val="000000"/>
          <w:sz w:val="20"/>
        </w:rPr>
        <w:t xml:space="preserve"> </w:t>
      </w:r>
      <w:r>
        <w:rPr>
          <w:rFonts w:ascii="Times New Roman" w:hAnsi="Times New Roman"/>
          <w:color w:val="000000"/>
          <w:sz w:val="24"/>
        </w:rPr>
        <w:t>and the Deferral Election Form shall not be accelerated or delayed for any reason, unless to the extent necessary to comply with, or as may be permitted under, Section 409A.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 If the Grantee is deemed on the date of a Separation from Service to be a “specified employee” (within the meaning of that term under Section 409A(a)(2)(B) of the Code and determined using any identification methodology and procedure selected by the Company from time to time, or the default methodology and procedure specified under Code Section 409A, if none has been selected by the Company), then with regard to any payment or the provision of any benefit that is “nonqualified deferred compensation” within the meaning of Section 409A and that is paid as a result of the Grantee’s Separation from Service, such payment or benefit shall not be made or provided prior to the date that is the earlier of (i) the expiration of the six (6)-month period measured from the date of such Separation from Service of the Grantee, and (ii) the date of the Grantee’s death (the “</w:t>
      </w:r>
      <w:r>
        <w:rPr>
          <w:rFonts w:ascii="Times New Roman" w:hAnsi="Times New Roman"/>
          <w:b/>
          <w:i/>
          <w:color w:val="000000"/>
          <w:sz w:val="24"/>
        </w:rPr>
        <w:t>Delay Period</w:t>
      </w:r>
      <w:r>
        <w:rPr>
          <w:rFonts w:ascii="Times New Roman" w:hAnsi="Times New Roman"/>
          <w:color w:val="000000"/>
          <w:sz w:val="20"/>
        </w:rPr>
        <w:t>”</w:t>
      </w:r>
      <w:r>
        <w:rPr>
          <w:rFonts w:ascii="Times New Roman" w:hAnsi="Times New Roman"/>
          <w:color w:val="000000"/>
          <w:sz w:val="24"/>
        </w:rPr>
        <w:t>). Upon the expiration of the Delay Period, all payments and benefits delayed pursuant to this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provision (whether they would have otherwise been payable in a single sum or in installments in the absence of such delay) shall be paid or reimbursed to the Grantee in a lump sum, and any remaining payments and benefits due under this Agreement shall be paid or provided in accordance with the normal payment dates specified for them herein. For purposes of Section 409A, a distribution of shares of Company Stock following conversion of a PSU shall constitute a “payment” thereof.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8.</w:t>
      </w:r>
    </w:p>
    <w:p>
      <w:pPr>
        <w:pStyle w:val="TextBody"/>
        <w:bidi w:val="0"/>
        <w:jc w:val="both"/>
        <w:rPr/>
      </w:pPr>
      <w:r>
        <w:rPr>
          <w:rFonts w:ascii="Times New Roman" w:hAnsi="Times New Roman"/>
          <w:color w:val="000000"/>
          <w:sz w:val="24"/>
          <w:u w:val="single"/>
        </w:rPr>
        <w:t>Recoupment of PSUs/Shares of Stock</w:t>
      </w:r>
      <w:r>
        <w:rPr>
          <w:rFonts w:ascii="Times New Roman" w:hAnsi="Times New Roman"/>
          <w:color w:val="000000"/>
          <w:sz w:val="24"/>
        </w:rPr>
        <w:t>. Notwithstanding any provision in the Plan or this Agreement to the contrary, all PSUs and underlying shares of Company Stock awarded pursuant to this Agreement shall be subject to recoupment by the Company pursuant to the Company’s Compensation Recoupment Policy, as it may be amended from time to time (or any successor policy thereto) (the “</w:t>
      </w:r>
      <w:r>
        <w:rPr>
          <w:rFonts w:ascii="Times New Roman" w:hAnsi="Times New Roman"/>
          <w:b/>
          <w:i/>
          <w:color w:val="000000"/>
          <w:sz w:val="24"/>
        </w:rPr>
        <w:t>Recoupment Policy</w:t>
      </w:r>
      <w:r>
        <w:rPr>
          <w:color w:val="000000"/>
        </w:rPr>
        <w:t>”</w:t>
      </w:r>
      <w:r>
        <w:rPr>
          <w:rFonts w:ascii="Times New Roman" w:hAnsi="Times New Roman"/>
          <w:color w:val="000000"/>
          <w:sz w:val="24"/>
        </w:rPr>
        <w:t>). The terms of the Recoupment Policy are hereby incorporated by reference into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9.</w:t>
      </w:r>
    </w:p>
    <w:p>
      <w:pPr>
        <w:pStyle w:val="TextBody"/>
        <w:bidi w:val="0"/>
        <w:jc w:val="both"/>
        <w:rPr/>
      </w:pPr>
      <w:r>
        <w:rPr>
          <w:rFonts w:ascii="Times New Roman" w:hAnsi="Times New Roman"/>
          <w:color w:val="000000"/>
          <w:sz w:val="24"/>
          <w:u w:val="single"/>
        </w:rPr>
        <w:t>General Matters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Heirs and Successors</w:t>
      </w:r>
      <w:r>
        <w:rPr>
          <w:rFonts w:ascii="Times New Roman" w:hAnsi="Times New Roman"/>
          <w:color w:val="000000"/>
          <w:sz w:val="24"/>
        </w:rPr>
        <w:t>. This Agreement shall be binding upon, and inure to the benefit of, the Company and its successors and assigns, and upon any person acquiring, whether by merger, consolidation, purchase of assets or otherwise, all or substantially all of the Company’s assets and business. Subject to the terms of the Plan, any benefits distributable to the Grantee under this Agreement that are not distributed at the time of the Grantee’s death shall be distributed, at the time and in the form determined in accordance with the provisions of this Agreement and the Plan, to the beneficiary designated by the Grantee in writing filed with the Company in such form and at such time as the Committee shall require. If a deceased Grantee failed to designate a beneficiary, or if the designated beneficiary of the deceased Grantee dies before the Grantee or before complete distribution of the benefits due under this Agreement, the amounts to be distributed under this Agreement shall be distributed to the legal representative or representatives of the estate of the last to die of the Grantee and any designated beneficiary.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Amendments by the Committee</w:t>
      </w:r>
      <w:r>
        <w:rPr>
          <w:rFonts w:ascii="Times New Roman" w:hAnsi="Times New Roman"/>
          <w:color w:val="000000"/>
          <w:sz w:val="24"/>
        </w:rPr>
        <w:t xml:space="preserve">. The Committee may, at any time prior to 75 days after the final Vesting Date, amend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amendment may, in the absence of written consent by the Grantee, adversely affect the rights of the Grantee under this Agreement prior to the date of such amendment.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Administration</w:t>
      </w:r>
      <w:r>
        <w:rPr>
          <w:rFonts w:ascii="Times New Roman" w:hAnsi="Times New Roman"/>
          <w:color w:val="000000"/>
          <w:sz w:val="24"/>
        </w:rPr>
        <w:t>. The authority to manage and control the operation and administration of this Agreement has been vested in the Committee, and the Committee shall have all powers with respect to this Agreement that it has with respect to the Plan. Any interpretation of the Agreement by the Committee, and any decision made by it with respect to the Agreement, are final and binding.</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Governing Law</w:t>
      </w:r>
      <w:r>
        <w:rPr>
          <w:rFonts w:ascii="Times New Roman" w:hAnsi="Times New Roman"/>
          <w:color w:val="000000"/>
          <w:sz w:val="24"/>
        </w:rPr>
        <w:t>. This Agreement shall be governed by, and construed and enforced in accordance with, the laws of the State of North Carolina without reference to principles of conflict of 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Resolution of Disputes</w:t>
      </w:r>
      <w:r>
        <w:rPr>
          <w:rFonts w:ascii="Times New Roman" w:hAnsi="Times New Roman"/>
          <w:color w:val="000000"/>
          <w:sz w:val="24"/>
        </w:rPr>
        <w:t xml:space="preserve">. Any disputes arising under or in connection with this Agreement shall be resolved by binding arbitration before a single arbitrator, to be held in North Carolina in accordance with the commercial rules and procedures of the American Arbitration Association. Judgment upon the award by the arbitrator shall be final and subject to appeal only to the extent permitted by law. Each party shall bear such party’s own expenses incurred in connection with any arbitration;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cost of the arbitration to the Grantee, including, without limitation, reasonable attorneys’ fees of the Grantee, shall be borne by the Company if the Grantee is the prevailing party in the arbitration. Anything to the contrary notwithstanding, each party hereto has the right to proceed with a court action for injunctive relief or relief from violations of law not within the jurisdiction of an arbitrator. If any costs of the arbitration borne by the Company in accordance herewith would constitute compensation to the Grantee for Federal tax purposes, then (i) the amount of any such costs reimbursed to the Grantee in one taxable year shall not affect the amount of such costs reimbursable to the Grantee in any other taxable year, (ii) the Grantee’s right to reimbursement of any such costs shall not be subject to liquidation or exchange for any other benefit, and (iii) the reimbursement of any such costs incurred by the Grantee shall be made as soon as administratively practicable, but in any event within ten (10) days, after the date the Grantee is determined to be the prevailing party in the arbitration. The Grantee shall be responsible for submitting claims for reimbursement in a timely manner to enable payment within the timeframe provided herein.</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Notices</w:t>
      </w:r>
      <w:r>
        <w:rPr>
          <w:rFonts w:ascii="Times New Roman" w:hAnsi="Times New Roman"/>
          <w:color w:val="000000"/>
          <w:sz w:val="24"/>
        </w:rPr>
        <w:t xml:space="preserve">. Any notice or other communication required or permitted under this Agreement, to be effective, shall be in writing and, unless otherwise expressly provided herein, shall be deemed to have been duly given (i) on the date delivered in person, (ii) on the date indicated on the return receipt if mailed postage prepaid, by certified or registered U.S. Mail, with return receipt requested, (iii) on the date transmitted by facsimile or e-mail, if sent by 5:00 P.M., Eastern Time, and confirmation of receipt thereof is reflected or obtained, or (iv) </w:t>
      </w:r>
      <w:r>
        <w:rPr>
          <w:rFonts w:ascii="Times New Roman" w:hAnsi="Times New Roman"/>
          <w:color w:val="000000"/>
          <w:sz w:val="24"/>
          <w:u w:val="single"/>
        </w:rPr>
        <w:t>if</w:t>
      </w:r>
      <w:r>
        <w:rPr>
          <w:rFonts w:ascii="Times New Roman" w:hAnsi="Times New Roman"/>
          <w:color w:val="000000"/>
          <w:sz w:val="20"/>
        </w:rPr>
        <w:t xml:space="preserve"> </w:t>
      </w:r>
      <w:r>
        <w:rPr>
          <w:rFonts w:ascii="Times New Roman" w:hAnsi="Times New Roman"/>
          <w:color w:val="000000"/>
          <w:sz w:val="24"/>
        </w:rPr>
        <w:t xml:space="preserve">sent by Federal Express, UPS or other nationally recognized overnight courier service or overnight express U.S. Mail, with service charges or postage prepaid, </w:t>
      </w:r>
      <w:r>
        <w:rPr>
          <w:rFonts w:ascii="Times New Roman" w:hAnsi="Times New Roman"/>
          <w:color w:val="000000"/>
          <w:sz w:val="24"/>
          <w:u w:val="single"/>
        </w:rPr>
        <w:t>then</w:t>
      </w:r>
      <w:r>
        <w:rPr>
          <w:rFonts w:ascii="Times New Roman" w:hAnsi="Times New Roman"/>
          <w:color w:val="000000"/>
          <w:sz w:val="20"/>
        </w:rPr>
        <w:t xml:space="preserve"> </w:t>
      </w:r>
      <w:r>
        <w:rPr>
          <w:rFonts w:ascii="Times New Roman" w:hAnsi="Times New Roman"/>
          <w:color w:val="000000"/>
          <w:sz w:val="24"/>
        </w:rPr>
        <w:t>on the next business day after delivery to the courier service or U.S. Mail (in time for and specifying next day delivery). In each case (except for personal delivery), any such notice or other communication shall be sent, as appropriate, (v) to the Grantee at the last address or facsimile number specified in the Grantee’s records with the Company, or such other address or facsimile number as the Grantee may designate in writing to the Company, or (vi) to the Company, Attention: General Counsel, at its corporate headquarters address or main facsimile number at such address or such other address as the Company may designate in writing to the Grantee.</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Failure to Enforce Not a Waiver</w:t>
      </w:r>
      <w:r>
        <w:rPr>
          <w:rFonts w:ascii="Times New Roman" w:hAnsi="Times New Roman"/>
          <w:color w:val="000000"/>
          <w:sz w:val="24"/>
        </w:rPr>
        <w:t>. The failure of either party hereto to enforce at any time any provision of this Agreement shall in no way be construed to be a waiver of such provision or of any other provision 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Counterparts</w:t>
      </w:r>
      <w:r>
        <w:rPr>
          <w:rFonts w:ascii="Times New Roman" w:hAnsi="Times New Roman"/>
          <w:color w:val="000000"/>
          <w:sz w:val="24"/>
        </w:rPr>
        <w:t>. This Agreement may be executed in multiple counterparts, each of which shall be an original but all of which together shall represent one and the same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Modifications; Entire Agreement; Headings</w:t>
      </w:r>
      <w:r>
        <w:rPr>
          <w:rFonts w:ascii="Times New Roman" w:hAnsi="Times New Roman"/>
          <w:color w:val="000000"/>
          <w:sz w:val="24"/>
        </w:rPr>
        <w:t>. This Agreement cannot be changed or terminated orally. This Agreement and the Plan contain the entire agreement between the parties relating to the subject matter hereof. The section headings herein are intended for reference only and shall not affect the interpretation hereof.</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[Signatures Follow on Next Page]</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xml:space="preserve">, the parties have executed this Agreement, including the Notice of Grant attached hereto as </w:t>
      </w:r>
      <w:r>
        <w:rPr>
          <w:rFonts w:ascii="Times New Roman" w:hAnsi="Times New Roman"/>
          <w:color w:val="000000"/>
          <w:sz w:val="24"/>
          <w:u w:val="single"/>
        </w:rPr>
        <w:t>Annex A</w:t>
      </w:r>
      <w:r>
        <w:rPr>
          <w:rFonts w:ascii="Times New Roman" w:hAnsi="Times New Roman"/>
          <w:color w:val="000000"/>
          <w:sz w:val="24"/>
        </w:rPr>
        <w:t xml:space="preserve">, effective as of the Grant Date set forth on </w:t>
      </w:r>
      <w:r>
        <w:rPr>
          <w:rFonts w:ascii="Times New Roman" w:hAnsi="Times New Roman"/>
          <w:color w:val="000000"/>
          <w:sz w:val="24"/>
          <w:u w:val="single"/>
        </w:rPr>
        <w:t>Annex A</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4"/>
        </w:rPr>
      </w:pPr>
      <w:r>
        <w:rPr>
          <w:rFonts w:ascii="Times New Roman" w:hAnsi="Times New Roman"/>
          <w:b/>
          <w:color w:val="000000"/>
          <w:sz w:val="24"/>
        </w:rPr>
        <w:t>UNIFI, INC.</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4"/>
        </w:rPr>
      </w:pPr>
      <w:r>
        <w:rPr>
          <w:rFonts w:ascii="Times New Roman" w:hAnsi="Times New Roman"/>
          <w:color w:val="000000"/>
          <w:sz w:val="24"/>
        </w:rPr>
        <w:t>By: _______________</w:t>
      </w:r>
    </w:p>
    <w:p>
      <w:pPr>
        <w:pStyle w:val="TextBody"/>
        <w:bidi w:val="0"/>
        <w:jc w:val="left"/>
        <w:rPr>
          <w:rFonts w:ascii="Times New Roman" w:hAnsi="Times New Roman"/>
          <w:color w:val="000000"/>
          <w:sz w:val="24"/>
        </w:rPr>
      </w:pPr>
      <w:r>
        <w:rPr>
          <w:rFonts w:ascii="Times New Roman" w:hAnsi="Times New Roman"/>
          <w:color w:val="000000"/>
          <w:sz w:val="24"/>
        </w:rPr>
        <w:t>Name: [______________]</w:t>
      </w:r>
    </w:p>
    <w:p>
      <w:pPr>
        <w:pStyle w:val="TextBody"/>
        <w:bidi w:val="0"/>
        <w:spacing w:before="0" w:after="480"/>
        <w:jc w:val="left"/>
        <w:rPr>
          <w:rFonts w:ascii="Times New Roman" w:hAnsi="Times New Roman"/>
          <w:color w:val="000000"/>
          <w:sz w:val="24"/>
        </w:rPr>
      </w:pPr>
      <w:r>
        <w:rPr>
          <w:rFonts w:ascii="Times New Roman" w:hAnsi="Times New Roman"/>
          <w:color w:val="000000"/>
          <w:sz w:val="24"/>
        </w:rPr>
        <w:t>Title: [______________]</w:t>
      </w:r>
    </w:p>
    <w:p>
      <w:pPr>
        <w:pStyle w:val="TextBody"/>
        <w:bidi w:val="0"/>
        <w:spacing w:before="0" w:after="720"/>
        <w:jc w:val="both"/>
        <w:rPr>
          <w:rFonts w:ascii="Times New Roman" w:hAnsi="Times New Roman"/>
          <w:b/>
          <w:color w:val="000000"/>
          <w:sz w:val="24"/>
        </w:rPr>
      </w:pPr>
      <w:r>
        <w:rPr>
          <w:rFonts w:ascii="Times New Roman" w:hAnsi="Times New Roman"/>
          <w:b/>
          <w:color w:val="000000"/>
          <w:sz w:val="24"/>
        </w:rPr>
        <w:t>GRANTEE</w:t>
      </w:r>
    </w:p>
    <w:p>
      <w:pPr>
        <w:pStyle w:val="TextBody"/>
        <w:bidi w:val="0"/>
        <w:jc w:val="both"/>
        <w:rPr>
          <w:rFonts w:ascii="Times New Roman" w:hAnsi="Times New Roman"/>
          <w:color w:val="000000"/>
          <w:sz w:val="24"/>
          <w:u w:val="single"/>
        </w:rPr>
      </w:pPr>
      <w:r>
        <w:rPr>
          <w:rFonts w:ascii="Times New Roman" w:hAnsi="Times New Roman"/>
          <w:color w:val="000000"/>
          <w:sz w:val="24"/>
          <w:u w:val="single"/>
        </w:rPr>
        <w:t>_____________________</w:t>
      </w:r>
    </w:p>
    <w:p>
      <w:pPr>
        <w:pStyle w:val="TextBody"/>
        <w:bidi w:val="0"/>
        <w:spacing w:before="0" w:after="240"/>
        <w:jc w:val="left"/>
        <w:rPr>
          <w:rFonts w:ascii="Times New Roman" w:hAnsi="Times New Roman"/>
          <w:sz w:val="20"/>
        </w:rPr>
      </w:pPr>
      <w:r>
        <w:rPr>
          <w:rFonts w:ascii="Times New Roman" w:hAnsi="Times New Roman"/>
          <w:color w:val="000000"/>
          <w:sz w:val="24"/>
        </w:rPr>
        <w:t>(Signature)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Annex A</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GRANT OF</w:t>
      </w:r>
    </w:p>
    <w:p>
      <w:pPr>
        <w:pStyle w:val="TextBody"/>
        <w:bidi w:val="0"/>
        <w:jc w:val="center"/>
        <w:rPr>
          <w:rFonts w:ascii="Times New Roman" w:hAnsi="Times New Roman"/>
          <w:b/>
          <w:color w:val="000000"/>
          <w:sz w:val="24"/>
        </w:rPr>
      </w:pPr>
      <w:r>
        <w:rPr>
          <w:rFonts w:ascii="Times New Roman" w:hAnsi="Times New Roman"/>
          <w:b/>
          <w:color w:val="000000"/>
          <w:sz w:val="24"/>
        </w:rPr>
        <w:t>PERFORMANCE SHARE UNITS</w:t>
      </w:r>
    </w:p>
    <w:p>
      <w:pPr>
        <w:pStyle w:val="TextBody"/>
        <w:bidi w:val="0"/>
        <w:jc w:val="both"/>
        <w:rPr>
          <w:rFonts w:ascii="Times New Roman" w:hAnsi="Times New Roman"/>
          <w:color w:val="000000"/>
          <w:sz w:val="24"/>
        </w:rPr>
      </w:pPr>
      <w:r>
        <w:rPr>
          <w:rFonts w:ascii="Times New Roman" w:hAnsi="Times New Roman"/>
          <w:color w:val="000000"/>
          <w:sz w:val="24"/>
        </w:rPr>
        <w:t>The following employee has been granted Performance Share Units pursuant to the Unifi, Inc. Second Amended and Restated 2013 Incentive Compensation Plan, as amended, in accordance with terms as set forth in this Notice of Grant and the Performance Share Unit Agreement to which this Notice of Grant is attached.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terms below shall have the following meanings when used in the Performance Share Unit Agreement.</w:t>
      </w:r>
    </w:p>
    <w:p>
      <w:pPr>
        <w:pStyle w:val="TextBody"/>
        <w:bidi w:val="0"/>
        <w:jc w:val="left"/>
        <w:rPr/>
      </w:pPr>
      <w:r>
        <w:rPr/>
        <w:t> </w:t>
      </w:r>
    </w:p>
    <w:tbl>
      <w:tblPr>
        <w:tblW w:w="4232" w:type="dxa"/>
        <w:jc w:val="left"/>
        <w:tblInd w:w="0" w:type="dxa"/>
        <w:tblLayout w:type="fixed"/>
        <w:tblCellMar>
          <w:top w:w="28" w:type="dxa"/>
          <w:left w:w="28" w:type="dxa"/>
          <w:bottom w:w="28" w:type="dxa"/>
          <w:right w:w="28" w:type="dxa"/>
        </w:tblCellMar>
      </w:tblPr>
      <w:tblGrid>
        <w:gridCol w:w="2251"/>
        <w:gridCol w:w="1981"/>
      </w:tblGrid>
      <w:tr>
        <w:trPr/>
        <w:tc>
          <w:tcPr>
            <w:tcW w:w="2251" w:type="dxa"/>
            <w:tcBorders/>
            <w:vAlign w:val="center"/>
          </w:tcPr>
          <w:p>
            <w:pPr>
              <w:pStyle w:val="TableContents"/>
              <w:bidi w:val="0"/>
              <w:spacing w:before="0" w:after="283"/>
              <w:jc w:val="left"/>
              <w:rPr>
                <w:sz w:val="4"/>
                <w:szCs w:val="4"/>
              </w:rPr>
            </w:pPr>
            <w:r>
              <w:rPr>
                <w:sz w:val="4"/>
                <w:szCs w:val="4"/>
              </w:rPr>
            </w:r>
          </w:p>
        </w:tc>
        <w:tc>
          <w:tcPr>
            <w:tcW w:w="1981" w:type="dxa"/>
            <w:tcBorders/>
            <w:vAlign w:val="center"/>
          </w:tcPr>
          <w:p>
            <w:pPr>
              <w:pStyle w:val="TableContents"/>
              <w:bidi w:val="0"/>
              <w:spacing w:before="0" w:after="283"/>
              <w:jc w:val="left"/>
              <w:rPr>
                <w:sz w:val="4"/>
                <w:szCs w:val="4"/>
              </w:rPr>
            </w:pPr>
            <w:r>
              <w:rPr>
                <w:sz w:val="4"/>
                <w:szCs w:val="4"/>
              </w:rPr>
            </w:r>
          </w:p>
        </w:tc>
      </w:tr>
      <w:tr>
        <w:trPr/>
        <w:tc>
          <w:tcPr>
            <w:tcW w:w="2251" w:type="dxa"/>
            <w:tcBorders>
              <w:top w:val="single" w:sz="7" w:space="0" w:color="000000"/>
              <w:left w:val="single" w:sz="7" w:space="0" w:color="000000"/>
              <w:bottom w:val="single" w:sz="6" w:space="0" w:color="FFFFFF"/>
              <w:right w:val="single" w:sz="6" w:space="0" w:color="FFFFFF"/>
            </w:tcBorders>
            <w:tcMar>
              <w:left w:w="134" w:type="dxa"/>
              <w:right w:w="134"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Grantee</w:t>
            </w:r>
          </w:p>
          <w:p>
            <w:pPr>
              <w:pStyle w:val="TableContents"/>
              <w:bidi w:val="0"/>
              <w:spacing w:before="0" w:after="283"/>
              <w:jc w:val="left"/>
              <w:rPr/>
            </w:pPr>
            <w:r>
              <w:rPr/>
              <w:t> </w:t>
            </w:r>
          </w:p>
        </w:tc>
        <w:tc>
          <w:tcPr>
            <w:tcW w:w="1981" w:type="dxa"/>
            <w:tcBorders>
              <w:top w:val="single" w:sz="7" w:space="0" w:color="000000"/>
              <w:bottom w:val="single" w:sz="6" w:space="0" w:color="FFFFFF"/>
              <w:right w:val="single" w:sz="7" w:space="0" w:color="000000"/>
            </w:tcBorders>
            <w:tcMar>
              <w:left w:w="0" w:type="dxa"/>
              <w:right w:w="134"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[EMPLOYEE]</w:t>
            </w:r>
          </w:p>
        </w:tc>
      </w:tr>
      <w:tr>
        <w:trPr/>
        <w:tc>
          <w:tcPr>
            <w:tcW w:w="2251" w:type="dxa"/>
            <w:tcBorders>
              <w:left w:val="single" w:sz="7" w:space="0" w:color="000000"/>
              <w:bottom w:val="single" w:sz="6" w:space="0" w:color="FFFFFF"/>
              <w:right w:val="single" w:sz="6" w:space="0" w:color="FFFFFF"/>
            </w:tcBorders>
            <w:tcMar>
              <w:top w:w="0" w:type="dxa"/>
              <w:left w:w="134" w:type="dxa"/>
              <w:right w:w="134"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Address of Grantee</w:t>
            </w:r>
          </w:p>
          <w:p>
            <w:pPr>
              <w:pStyle w:val="TableContents"/>
              <w:bidi w:val="0"/>
              <w:spacing w:before="0" w:after="283"/>
              <w:jc w:val="left"/>
              <w:rPr/>
            </w:pPr>
            <w:r>
              <w:rPr/>
              <w:t> </w:t>
            </w:r>
          </w:p>
        </w:tc>
        <w:tc>
          <w:tcPr>
            <w:tcW w:w="1981" w:type="dxa"/>
            <w:tcBorders>
              <w:bottom w:val="single" w:sz="6" w:space="0" w:color="FFFFFF"/>
              <w:right w:val="single" w:sz="7" w:space="0" w:color="000000"/>
            </w:tcBorders>
            <w:tcMar>
              <w:top w:w="0" w:type="dxa"/>
              <w:left w:w="0" w:type="dxa"/>
              <w:right w:w="134"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[______________]</w:t>
            </w:r>
          </w:p>
        </w:tc>
      </w:tr>
      <w:tr>
        <w:trPr/>
        <w:tc>
          <w:tcPr>
            <w:tcW w:w="2251" w:type="dxa"/>
            <w:tcBorders>
              <w:left w:val="single" w:sz="7" w:space="0" w:color="000000"/>
              <w:bottom w:val="single" w:sz="6" w:space="0" w:color="FFFFFF"/>
              <w:right w:val="single" w:sz="6" w:space="0" w:color="FFFFFF"/>
            </w:tcBorders>
            <w:tcMar>
              <w:top w:w="0" w:type="dxa"/>
              <w:left w:w="134" w:type="dxa"/>
              <w:right w:w="134"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Grant Date</w:t>
            </w:r>
          </w:p>
          <w:p>
            <w:pPr>
              <w:pStyle w:val="TableContents"/>
              <w:bidi w:val="0"/>
              <w:spacing w:before="0" w:after="283"/>
              <w:jc w:val="left"/>
              <w:rPr/>
            </w:pPr>
            <w:r>
              <w:rPr/>
              <w:t> </w:t>
            </w:r>
          </w:p>
        </w:tc>
        <w:tc>
          <w:tcPr>
            <w:tcW w:w="1981" w:type="dxa"/>
            <w:tcBorders>
              <w:bottom w:val="single" w:sz="6" w:space="0" w:color="FFFFFF"/>
              <w:right w:val="single" w:sz="7" w:space="0" w:color="000000"/>
            </w:tcBorders>
            <w:tcMar>
              <w:top w:w="0" w:type="dxa"/>
              <w:left w:w="0" w:type="dxa"/>
              <w:right w:w="134"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[______________]</w:t>
            </w:r>
          </w:p>
        </w:tc>
      </w:tr>
      <w:tr>
        <w:trPr/>
        <w:tc>
          <w:tcPr>
            <w:tcW w:w="2251" w:type="dxa"/>
            <w:tcBorders>
              <w:left w:val="single" w:sz="7" w:space="0" w:color="000000"/>
              <w:bottom w:val="single" w:sz="7" w:space="0" w:color="000000"/>
              <w:right w:val="single" w:sz="6" w:space="0" w:color="FFFFFF"/>
            </w:tcBorders>
            <w:tcMar>
              <w:top w:w="0" w:type="dxa"/>
              <w:left w:w="134" w:type="dxa"/>
              <w:right w:w="134"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Deferral Election Date</w:t>
            </w:r>
          </w:p>
          <w:p>
            <w:pPr>
              <w:pStyle w:val="TableContents"/>
              <w:bidi w:val="0"/>
              <w:spacing w:before="0" w:after="283"/>
              <w:jc w:val="left"/>
              <w:rPr/>
            </w:pPr>
            <w:r>
              <w:rPr/>
              <w:t> </w:t>
            </w:r>
          </w:p>
        </w:tc>
        <w:tc>
          <w:tcPr>
            <w:tcW w:w="1981" w:type="dxa"/>
            <w:tcBorders>
              <w:bottom w:val="single" w:sz="7" w:space="0" w:color="000000"/>
              <w:right w:val="single" w:sz="7" w:space="0" w:color="000000"/>
            </w:tcBorders>
            <w:tcMar>
              <w:top w:w="0" w:type="dxa"/>
              <w:left w:w="0" w:type="dxa"/>
              <w:right w:w="134"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[______________]</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u w:val="single"/>
        </w:rPr>
        <w:t>Performance Determinations</w:t>
      </w:r>
      <w:r>
        <w:rPr>
          <w:rFonts w:ascii="Times New Roman" w:hAnsi="Times New Roman"/>
          <w:color w:val="000000"/>
          <w:sz w:val="24"/>
        </w:rPr>
        <w:t>. The actual number of PSUs that shall vest on the applicable Vesting Date for each Performance Period shall be determined from the following tables. Results between specified performance levels will be determined using straight-line interpolation.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Performance Period Ending: [______________]</w:t>
      </w:r>
    </w:p>
    <w:p>
      <w:pPr>
        <w:pStyle w:val="TextBody"/>
        <w:bidi w:val="0"/>
        <w:jc w:val="left"/>
        <w:rPr>
          <w:rFonts w:ascii="Times New Roman" w:hAnsi="Times New Roman"/>
          <w:color w:val="000000"/>
          <w:sz w:val="24"/>
        </w:rPr>
      </w:pPr>
      <w:r>
        <w:rPr>
          <w:rFonts w:ascii="Times New Roman" w:hAnsi="Times New Roman"/>
          <w:color w:val="000000"/>
          <w:sz w:val="24"/>
        </w:rPr>
        <w:t>Vesting Date: [______________]</w:t>
      </w:r>
    </w:p>
    <w:p>
      <w:pPr>
        <w:pStyle w:val="TextBody"/>
        <w:bidi w:val="0"/>
        <w:jc w:val="left"/>
        <w:rPr/>
      </w:pPr>
      <w:r>
        <w:rPr/>
        <w:t> </w:t>
      </w:r>
    </w:p>
    <w:tbl>
      <w:tblPr>
        <w:tblW w:w="8088" w:type="dxa"/>
        <w:jc w:val="left"/>
        <w:tblInd w:w="0" w:type="dxa"/>
        <w:tblLayout w:type="fixed"/>
        <w:tblCellMar>
          <w:top w:w="28" w:type="dxa"/>
          <w:left w:w="28" w:type="dxa"/>
          <w:bottom w:w="28" w:type="dxa"/>
          <w:right w:w="28" w:type="dxa"/>
        </w:tblCellMar>
      </w:tblPr>
      <w:tblGrid>
        <w:gridCol w:w="1921"/>
        <w:gridCol w:w="1936"/>
        <w:gridCol w:w="4231"/>
      </w:tblGrid>
      <w:tr>
        <w:trPr/>
        <w:tc>
          <w:tcPr>
            <w:tcW w:w="192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92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Performance Level</w:t>
            </w:r>
          </w:p>
        </w:tc>
        <w:tc>
          <w:tcPr>
            <w:tcW w:w="19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Description</w:t>
            </w:r>
          </w:p>
        </w:tc>
        <w:tc>
          <w:tcPr>
            <w:tcW w:w="4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Payout</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Threshold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Target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Maximum</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Performance Period Ending: [______________]</w:t>
      </w:r>
    </w:p>
    <w:p>
      <w:pPr>
        <w:pStyle w:val="TextBody"/>
        <w:bidi w:val="0"/>
        <w:jc w:val="left"/>
        <w:rPr>
          <w:rFonts w:ascii="Times New Roman" w:hAnsi="Times New Roman"/>
          <w:color w:val="000000"/>
          <w:sz w:val="24"/>
        </w:rPr>
      </w:pPr>
      <w:r>
        <w:rPr>
          <w:rFonts w:ascii="Times New Roman" w:hAnsi="Times New Roman"/>
          <w:color w:val="000000"/>
          <w:sz w:val="24"/>
        </w:rPr>
        <w:t>Vesting Date: [______________]</w:t>
      </w:r>
    </w:p>
    <w:p>
      <w:pPr>
        <w:pStyle w:val="TextBody"/>
        <w:bidi w:val="0"/>
        <w:jc w:val="left"/>
        <w:rPr/>
      </w:pPr>
      <w:r>
        <w:rPr/>
        <w:t> </w:t>
      </w:r>
    </w:p>
    <w:tbl>
      <w:tblPr>
        <w:tblW w:w="8088" w:type="dxa"/>
        <w:jc w:val="left"/>
        <w:tblInd w:w="0" w:type="dxa"/>
        <w:tblLayout w:type="fixed"/>
        <w:tblCellMar>
          <w:top w:w="28" w:type="dxa"/>
          <w:left w:w="28" w:type="dxa"/>
          <w:bottom w:w="28" w:type="dxa"/>
          <w:right w:w="28" w:type="dxa"/>
        </w:tblCellMar>
      </w:tblPr>
      <w:tblGrid>
        <w:gridCol w:w="1921"/>
        <w:gridCol w:w="1936"/>
        <w:gridCol w:w="4231"/>
      </w:tblGrid>
      <w:tr>
        <w:trPr/>
        <w:tc>
          <w:tcPr>
            <w:tcW w:w="192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92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Performance Level</w:t>
            </w:r>
          </w:p>
        </w:tc>
        <w:tc>
          <w:tcPr>
            <w:tcW w:w="19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Description</w:t>
            </w:r>
          </w:p>
        </w:tc>
        <w:tc>
          <w:tcPr>
            <w:tcW w:w="4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Payout</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Threshold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Target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Maximum</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Performance Period Ending: [______________]</w:t>
      </w:r>
    </w:p>
    <w:p>
      <w:pPr>
        <w:pStyle w:val="TextBody"/>
        <w:bidi w:val="0"/>
        <w:jc w:val="left"/>
        <w:rPr>
          <w:rFonts w:ascii="Times New Roman" w:hAnsi="Times New Roman"/>
          <w:color w:val="000000"/>
          <w:sz w:val="24"/>
        </w:rPr>
      </w:pPr>
      <w:r>
        <w:rPr>
          <w:rFonts w:ascii="Times New Roman" w:hAnsi="Times New Roman"/>
          <w:color w:val="000000"/>
          <w:sz w:val="24"/>
        </w:rPr>
        <w:t>Vesting Date: [______________]</w:t>
      </w:r>
    </w:p>
    <w:p>
      <w:pPr>
        <w:pStyle w:val="TextBody"/>
        <w:bidi w:val="0"/>
        <w:jc w:val="left"/>
        <w:rPr/>
      </w:pPr>
      <w:r>
        <w:rPr/>
        <w:t> </w:t>
      </w:r>
    </w:p>
    <w:tbl>
      <w:tblPr>
        <w:tblW w:w="8178" w:type="dxa"/>
        <w:jc w:val="left"/>
        <w:tblInd w:w="0" w:type="dxa"/>
        <w:tblLayout w:type="fixed"/>
        <w:tblCellMar>
          <w:top w:w="28" w:type="dxa"/>
          <w:left w:w="28" w:type="dxa"/>
          <w:bottom w:w="28" w:type="dxa"/>
          <w:right w:w="28" w:type="dxa"/>
        </w:tblCellMar>
      </w:tblPr>
      <w:tblGrid>
        <w:gridCol w:w="1921"/>
        <w:gridCol w:w="1936"/>
        <w:gridCol w:w="4321"/>
      </w:tblGrid>
      <w:tr>
        <w:trPr/>
        <w:tc>
          <w:tcPr>
            <w:tcW w:w="192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4321" w:type="dxa"/>
            <w:tcBorders/>
            <w:vAlign w:val="center"/>
          </w:tcPr>
          <w:p>
            <w:pPr>
              <w:pStyle w:val="TableContents"/>
              <w:bidi w:val="0"/>
              <w:spacing w:before="0" w:after="283"/>
              <w:jc w:val="left"/>
              <w:rPr>
                <w:sz w:val="4"/>
                <w:szCs w:val="4"/>
              </w:rPr>
            </w:pPr>
            <w:r>
              <w:rPr>
                <w:sz w:val="4"/>
                <w:szCs w:val="4"/>
              </w:rPr>
            </w:r>
          </w:p>
        </w:tc>
      </w:tr>
      <w:tr>
        <w:trPr/>
        <w:tc>
          <w:tcPr>
            <w:tcW w:w="192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Performance Level</w:t>
            </w:r>
          </w:p>
        </w:tc>
        <w:tc>
          <w:tcPr>
            <w:tcW w:w="19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Description</w:t>
            </w:r>
          </w:p>
        </w:tc>
        <w:tc>
          <w:tcPr>
            <w:tcW w:w="432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Payout</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Threshold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Target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Maximum</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32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Targets PSUs available for vesting</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Annex B</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DEFERRAL ELECTION FORM AND INSTRUCTIONS</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 * * INSTRUCTIONS * *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You have been granted Performance Share Units (“</w:t>
      </w:r>
      <w:r>
        <w:rPr>
          <w:rFonts w:ascii="Times New Roman" w:hAnsi="Times New Roman"/>
          <w:b/>
          <w:i/>
          <w:color w:val="000000"/>
          <w:sz w:val="24"/>
        </w:rPr>
        <w:t>PSUs</w:t>
      </w:r>
      <w:r>
        <w:rPr>
          <w:rFonts w:ascii="Times New Roman" w:hAnsi="Times New Roman"/>
          <w:color w:val="000000"/>
          <w:sz w:val="20"/>
        </w:rPr>
        <w:t>”</w:t>
      </w:r>
      <w:r>
        <w:rPr>
          <w:rFonts w:ascii="Times New Roman" w:hAnsi="Times New Roman"/>
          <w:color w:val="000000"/>
          <w:sz w:val="24"/>
        </w:rPr>
        <w:t xml:space="preserve">) pursuant to the Performance Share Unit Agreement to which this </w:t>
      </w:r>
      <w:r>
        <w:rPr>
          <w:rFonts w:ascii="Times New Roman" w:hAnsi="Times New Roman"/>
          <w:color w:val="000000"/>
          <w:sz w:val="24"/>
          <w:u w:val="single"/>
        </w:rPr>
        <w:t>Annex B</w:t>
      </w:r>
      <w:r>
        <w:rPr>
          <w:rFonts w:ascii="Times New Roman" w:hAnsi="Times New Roman"/>
          <w:color w:val="000000"/>
          <w:sz w:val="20"/>
        </w:rPr>
        <w:t xml:space="preserve"> </w:t>
      </w:r>
      <w:r>
        <w:rPr>
          <w:rFonts w:ascii="Times New Roman" w:hAnsi="Times New Roman"/>
          <w:color w:val="000000"/>
          <w:sz w:val="24"/>
        </w:rPr>
        <w:t>is attached as a part thereof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xml:space="preserve">). Unless otherwise defined herein or in the attached Deferral Election Form, capitalized terms have the meanings given them in the Agreement, which also includes </w:t>
      </w:r>
      <w:r>
        <w:rPr>
          <w:rFonts w:ascii="Times New Roman" w:hAnsi="Times New Roman"/>
          <w:color w:val="000000"/>
          <w:sz w:val="24"/>
          <w:u w:val="single"/>
        </w:rPr>
        <w:t>Annex A</w:t>
      </w:r>
      <w:r>
        <w:rPr>
          <w:rFonts w:ascii="Times New Roman" w:hAnsi="Times New Roman"/>
          <w:color w:val="000000"/>
          <w:sz w:val="20"/>
        </w:rPr>
        <w:t xml:space="preserve"> </w:t>
      </w:r>
      <w:r>
        <w:rPr>
          <w:rFonts w:ascii="Times New Roman" w:hAnsi="Times New Roman"/>
          <w:color w:val="000000"/>
          <w:sz w:val="24"/>
        </w:rPr>
        <w:t>attached thereto.</w:t>
      </w:r>
    </w:p>
    <w:p>
      <w:pPr>
        <w:pStyle w:val="TextBody"/>
        <w:bidi w:val="0"/>
        <w:jc w:val="both"/>
        <w:rPr>
          <w:rFonts w:ascii="Times New Roman" w:hAnsi="Times New Roman"/>
          <w:color w:val="000000"/>
          <w:sz w:val="24"/>
        </w:rPr>
      </w:pPr>
      <w:r>
        <w:rPr>
          <w:rFonts w:ascii="Times New Roman" w:hAnsi="Times New Roman"/>
          <w:color w:val="000000"/>
          <w:sz w:val="24"/>
        </w:rPr>
        <w:t>Payment of PSUs is made in shares of Company Stock after the vesting of the PSUs as described in the Agreement. You are taxed at ordinary income rates on the value of the shares of Company Stock at the time of such payment, which is the time that shares are distributed to you pursuant to the Agreement. Following such a distribution, you can sell some or all the shares at any time, subject to any applicable securities law restrictions. Or, in connection with a distribution, you can choose to have the Company withhold an appropriate number of the shares to satisfy your tax obligation.</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As a general rule, your vested PSUs under the Agreement will be converted to shares of Company Stock that will be distributed to you in a single distribution within 30 days following the applicable Vesting Date. However, under </w:t>
      </w:r>
      <w:r>
        <w:rPr>
          <w:rFonts w:ascii="Times New Roman" w:hAnsi="Times New Roman"/>
          <w:color w:val="000000"/>
          <w:sz w:val="24"/>
          <w:u w:val="single"/>
        </w:rPr>
        <w:t>Section 3(c)</w:t>
      </w:r>
      <w:r>
        <w:rPr>
          <w:rFonts w:ascii="Times New Roman" w:hAnsi="Times New Roman"/>
          <w:color w:val="000000"/>
          <w:sz w:val="20"/>
        </w:rPr>
        <w:t xml:space="preserve"> </w:t>
      </w:r>
      <w:r>
        <w:rPr>
          <w:rFonts w:ascii="Times New Roman" w:hAnsi="Times New Roman"/>
          <w:color w:val="000000"/>
          <w:sz w:val="24"/>
        </w:rPr>
        <w:t>of the Agreement, you may elect instead to defer receipt of such shares of Company Stock until your Separation from Service, and then have the shares distributed to you in either a single distribution or substantially equal annual distributions over a period of up to five years following your Separation from Service. Such an election must be made by completing and submitting to the Company the attached Deferral Election Form on or before the Deferral Election Date.</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However, if you become vested in your PSUs prior to the Vesting Date due to certain Separation from Service events as described in Section 3(d)(i) of this Agreement or a Change in Control of the Company, you will receive your shares of Company Stock in a single distribution within 30 days following the date of such event, regardless of any deferral election that you may have made.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There may be advantages and disadvantages to making a deferral election, depending on your individual situation and future events, including future tax rates. You should consider your particular tax and financial situation before making a deferral election. You are encouraged to consult your personal tax or financial planning advisor in making a decision.</w:t>
      </w:r>
    </w:p>
    <w:p>
      <w:pPr>
        <w:pStyle w:val="TextBody"/>
        <w:bidi w:val="0"/>
        <w:jc w:val="both"/>
        <w:rPr/>
      </w:pPr>
      <w:r>
        <w:rPr/>
        <w:t> </w:t>
      </w:r>
    </w:p>
    <w:p>
      <w:pPr>
        <w:pStyle w:val="TextBody"/>
        <w:bidi w:val="0"/>
        <w:jc w:val="center"/>
        <w:rPr>
          <w:rFonts w:ascii="Times New Roman" w:hAnsi="Times New Roman"/>
          <w:b/>
          <w:caps/>
          <w:color w:val="000000"/>
          <w:sz w:val="24"/>
        </w:rPr>
      </w:pPr>
      <w:r>
        <w:rPr>
          <w:rFonts w:ascii="Times New Roman" w:hAnsi="Times New Roman"/>
          <w:b/>
          <w:caps/>
          <w:color w:val="000000"/>
          <w:sz w:val="24"/>
        </w:rPr>
        <w:t>For a Deferral Election to be effective,</w:t>
      </w:r>
    </w:p>
    <w:p>
      <w:pPr>
        <w:pStyle w:val="TextBody"/>
        <w:bidi w:val="0"/>
        <w:jc w:val="center"/>
        <w:rPr>
          <w:rFonts w:ascii="Times New Roman" w:hAnsi="Times New Roman"/>
          <w:sz w:val="20"/>
        </w:rPr>
      </w:pPr>
      <w:r>
        <w:rPr>
          <w:rFonts w:ascii="Times New Roman" w:hAnsi="Times New Roman"/>
          <w:b/>
          <w:caps/>
          <w:color w:val="000000"/>
          <w:sz w:val="24"/>
        </w:rPr>
        <w:t>you must complete and return the attached form</w:t>
      </w:r>
      <w:r>
        <w:rPr>
          <w:rFonts w:ascii="Times New Roman" w:hAnsi="Times New Roman"/>
          <w:caps/>
          <w:color w:val="000000"/>
          <w:sz w:val="20"/>
        </w:rPr>
        <w:t xml:space="preserve"> </w:t>
      </w:r>
    </w:p>
    <w:p>
      <w:pPr>
        <w:pStyle w:val="TextBody"/>
        <w:bidi w:val="0"/>
        <w:jc w:val="center"/>
        <w:rPr>
          <w:rFonts w:ascii="Times New Roman" w:hAnsi="Times New Roman"/>
          <w:sz w:val="20"/>
        </w:rPr>
      </w:pPr>
      <w:r>
        <w:rPr>
          <w:rFonts w:ascii="Times New Roman" w:hAnsi="Times New Roman"/>
          <w:b/>
          <w:caps/>
          <w:color w:val="000000"/>
          <w:sz w:val="24"/>
        </w:rPr>
        <w:t xml:space="preserve">NO LATER THAN </w:t>
      </w:r>
      <w:r>
        <w:rPr>
          <w:rFonts w:ascii="Times New Roman" w:hAnsi="Times New Roman"/>
          <w:b/>
          <w:color w:val="000000"/>
          <w:sz w:val="24"/>
        </w:rPr>
        <w:t>THE DEFERRAL ELECTION DATE</w:t>
      </w:r>
    </w:p>
    <w:p>
      <w:pPr>
        <w:pStyle w:val="TextBody"/>
        <w:bidi w:val="0"/>
        <w:jc w:val="center"/>
        <w:rPr>
          <w:rFonts w:ascii="Times New Roman" w:hAnsi="Times New Roman"/>
          <w:b/>
          <w:caps/>
          <w:color w:val="000000"/>
          <w:sz w:val="24"/>
        </w:rPr>
      </w:pPr>
      <w:r>
        <w:rPr>
          <w:rFonts w:ascii="Times New Roman" w:hAnsi="Times New Roman"/>
          <w:b/>
          <w:caps/>
          <w:color w:val="000000"/>
          <w:sz w:val="24"/>
        </w:rPr>
        <w:t>TO the office of the general counsel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UNIFI, INC. PERFORMANCE SHARE UNITS</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DEFERRAL ELECTION FORM</w:t>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Name of Grantee: [EMPLOYEE]</w:t>
      </w:r>
    </w:p>
    <w:p>
      <w:pPr>
        <w:pStyle w:val="TextBody"/>
        <w:bidi w:val="0"/>
        <w:spacing w:before="0" w:after="120"/>
        <w:jc w:val="left"/>
        <w:rPr/>
      </w:pPr>
      <w:r>
        <w:rPr/>
        <w:t> </w:t>
      </w:r>
    </w:p>
    <w:p>
      <w:pPr>
        <w:pStyle w:val="TextBody"/>
        <w:bidi w:val="0"/>
        <w:jc w:val="both"/>
        <w:rPr>
          <w:rFonts w:ascii="Times New Roman" w:hAnsi="Times New Roman"/>
          <w:sz w:val="20"/>
        </w:rPr>
      </w:pPr>
      <w:r>
        <w:rPr>
          <w:rFonts w:ascii="Times New Roman" w:hAnsi="Times New Roman"/>
          <w:color w:val="000000"/>
          <w:sz w:val="24"/>
        </w:rPr>
        <w:t>All capitalized terms not defined herein have the meanings assigned to them in your [DATE]</w:t>
      </w:r>
      <w:r>
        <w:rPr>
          <w:rFonts w:ascii="Times New Roman" w:hAnsi="Times New Roman"/>
          <w:color w:val="000000"/>
          <w:sz w:val="20"/>
        </w:rPr>
        <w:t xml:space="preserve"> </w:t>
      </w:r>
      <w:r>
        <w:rPr>
          <w:rFonts w:ascii="Times New Roman" w:hAnsi="Times New Roman"/>
          <w:color w:val="000000"/>
          <w:sz w:val="24"/>
        </w:rPr>
        <w:t xml:space="preserve">Performance Share Unit Agreement. </w:t>
      </w:r>
      <w:r>
        <w:rPr>
          <w:rFonts w:ascii="Times New Roman" w:hAnsi="Times New Roman"/>
          <w:b/>
          <w:i/>
          <w:color w:val="000000"/>
          <w:sz w:val="24"/>
        </w:rPr>
        <w:t xml:space="preserve">Please check and initial the </w:t>
      </w:r>
      <w:r>
        <w:rPr>
          <w:rFonts w:ascii="Times New Roman" w:hAnsi="Times New Roman"/>
          <w:b/>
          <w:i/>
          <w:color w:val="000000"/>
          <w:sz w:val="24"/>
          <w:u w:val="single"/>
        </w:rPr>
        <w:t>one</w:t>
      </w:r>
      <w:r>
        <w:rPr>
          <w:rFonts w:ascii="Times New Roman" w:hAnsi="Times New Roman"/>
          <w:color w:val="000000"/>
          <w:sz w:val="20"/>
        </w:rPr>
        <w:t xml:space="preserve"> </w:t>
      </w:r>
      <w:r>
        <w:rPr>
          <w:rFonts w:ascii="Times New Roman" w:hAnsi="Times New Roman"/>
          <w:b/>
          <w:i/>
          <w:color w:val="000000"/>
          <w:sz w:val="24"/>
        </w:rPr>
        <w:t>option being elected.</w:t>
      </w:r>
    </w:p>
    <w:p>
      <w:pPr>
        <w:pStyle w:val="TextBody"/>
        <w:bidi w:val="0"/>
        <w:jc w:val="both"/>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DO NOT DEFER DISTRIBUTION:</w:t>
      </w:r>
    </w:p>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24"/>
        </w:rPr>
        <w:t>___________ I hereby elect to receive my shares of Company Stock in a single distribution within 75 days following the Vesting Date.</w:t>
      </w:r>
      <w:r>
        <w:rPr>
          <w:rFonts w:ascii="Times New Roman" w:hAnsi="Times New Roman"/>
          <w:color w:val="000000"/>
          <w:sz w:val="20"/>
        </w:rPr>
        <w:t xml:space="preserve"> </w:t>
      </w:r>
    </w:p>
    <w:p>
      <w:pPr>
        <w:pStyle w:val="TextBody"/>
        <w:bidi w:val="0"/>
        <w:jc w:val="center"/>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TO DEFER DISTRIBUTION:</w:t>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 hereby elect to receive distribution of the following percentage of my shares of Company Stock pursuant to my [DATE]</w:t>
      </w:r>
      <w:r>
        <w:rPr>
          <w:rFonts w:ascii="Times New Roman" w:hAnsi="Times New Roman"/>
          <w:color w:val="000000"/>
          <w:sz w:val="20"/>
        </w:rPr>
        <w:t xml:space="preserve"> </w:t>
      </w:r>
      <w:r>
        <w:rPr>
          <w:rFonts w:ascii="Times New Roman" w:hAnsi="Times New Roman"/>
          <w:color w:val="000000"/>
          <w:sz w:val="24"/>
        </w:rPr>
        <w:t>Performance Share Unit Agreement, in payment of my vested PSUs thereunder, as follows: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___________ deferred percentage (must be a multiple of 10 up to 100%, and deferred shares will be rounded </w:t>
      </w:r>
      <w:r>
        <w:rPr>
          <w:rFonts w:ascii="Times New Roman" w:hAnsi="Times New Roman"/>
          <w:color w:val="000000"/>
          <w:sz w:val="24"/>
          <w:u w:val="single"/>
        </w:rPr>
        <w:t>down</w:t>
      </w:r>
      <w:r>
        <w:rPr>
          <w:rFonts w:ascii="Times New Roman" w:hAnsi="Times New Roman"/>
          <w:color w:val="000000"/>
          <w:sz w:val="20"/>
        </w:rPr>
        <w:t xml:space="preserve"> </w:t>
      </w:r>
      <w:r>
        <w:rPr>
          <w:rFonts w:ascii="Times New Roman" w:hAnsi="Times New Roman"/>
          <w:color w:val="000000"/>
          <w:sz w:val="24"/>
        </w:rPr>
        <w:t>to the nearest whole share) to be received in: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(a) ___________ single distribution within 75 days following the later of the date of my Separation from Service or the Vesting Date</w:t>
      </w:r>
    </w:p>
    <w:p>
      <w:pPr>
        <w:pStyle w:val="TextBody"/>
        <w:bidi w:val="0"/>
        <w:jc w:val="both"/>
        <w:rPr/>
      </w:pPr>
      <w:r>
        <w:rPr/>
        <w:t> </w:t>
      </w:r>
    </w:p>
    <w:p>
      <w:pPr>
        <w:pStyle w:val="TextBody"/>
        <w:bidi w:val="0"/>
        <w:jc w:val="center"/>
        <w:rPr>
          <w:rFonts w:ascii="Times New Roman" w:hAnsi="Times New Roman"/>
          <w:b/>
          <w:color w:val="000000"/>
          <w:sz w:val="24"/>
          <w:u w:val="single"/>
        </w:rPr>
      </w:pPr>
      <w:r>
        <w:rPr>
          <w:rFonts w:ascii="Times New Roman" w:hAnsi="Times New Roman"/>
          <w:b/>
          <w:color w:val="000000"/>
          <w:sz w:val="24"/>
          <w:u w:val="single"/>
        </w:rPr>
        <w:t>OR</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(b)___________ (</w:t>
      </w:r>
      <w:r>
        <w:rPr>
          <w:rFonts w:ascii="Times New Roman" w:hAnsi="Times New Roman"/>
          <w:b/>
          <w:i/>
          <w:color w:val="000000"/>
          <w:sz w:val="24"/>
          <w:u w:val="single"/>
        </w:rPr>
        <w:t>maximum of 5</w:t>
      </w:r>
      <w:r>
        <w:rPr>
          <w:rFonts w:ascii="Times New Roman" w:hAnsi="Times New Roman"/>
          <w:color w:val="000000"/>
          <w:sz w:val="24"/>
        </w:rPr>
        <w:t>) equal annual installment distributions, commencing within 75 days following the later of the date of my Separation from Service or the Vesting Date for the first installment and with each subsequent distribution on the respective anniversary dates thereof.</w:t>
      </w:r>
    </w:p>
    <w:p>
      <w:pPr>
        <w:pStyle w:val="TextBody"/>
        <w:bidi w:val="0"/>
        <w:jc w:val="left"/>
        <w:rPr/>
      </w:pPr>
      <w:r>
        <w:rPr/>
        <w:t> </w:t>
      </w:r>
    </w:p>
    <w:p>
      <w:pPr>
        <w:pStyle w:val="TextBody"/>
        <w:bidi w:val="0"/>
        <w:spacing w:before="0" w:after="120"/>
        <w:jc w:val="left"/>
        <w:rPr>
          <w:rFonts w:ascii="Times New Roman" w:hAnsi="Times New Roman"/>
          <w:color w:val="000000"/>
          <w:sz w:val="24"/>
        </w:rPr>
      </w:pPr>
      <w:r>
        <w:rPr>
          <w:rFonts w:ascii="Times New Roman" w:hAnsi="Times New Roman"/>
          <w:color w:val="000000"/>
          <w:sz w:val="24"/>
        </w:rPr>
        <w:t>I understand and acknowledge that:</w:t>
      </w:r>
    </w:p>
    <w:p>
      <w:pPr>
        <w:pStyle w:val="TextBody"/>
        <w:bidi w:val="0"/>
        <w:spacing w:before="0" w:after="120"/>
        <w:jc w:val="both"/>
        <w:rPr>
          <w:color w:val="000000"/>
        </w:rPr>
      </w:pPr>
      <w:r>
        <w:rPr>
          <w:color w:val="000000"/>
        </w:rPr>
        <w:t>•</w:t>
      </w:r>
    </w:p>
    <w:p>
      <w:pPr>
        <w:pStyle w:val="TextBody"/>
        <w:bidi w:val="0"/>
        <w:spacing w:before="0" w:after="120"/>
        <w:jc w:val="both"/>
        <w:rPr/>
      </w:pPr>
      <w:r>
        <w:rPr>
          <w:rFonts w:ascii="Times New Roman" w:hAnsi="Times New Roman"/>
          <w:color w:val="000000"/>
          <w:sz w:val="24"/>
        </w:rPr>
        <w:t xml:space="preserve">If I become vested in all or a portion of my PSUs prior to the Vesting Date due to certain events as described in </w:t>
      </w:r>
      <w:r>
        <w:rPr>
          <w:rFonts w:ascii="Times New Roman" w:hAnsi="Times New Roman"/>
          <w:color w:val="000000"/>
          <w:sz w:val="24"/>
          <w:u w:val="single"/>
        </w:rPr>
        <w:t>Section 3(d)(i)</w:t>
      </w:r>
      <w:r>
        <w:rPr>
          <w:color w:val="000000"/>
        </w:rPr>
        <w:t xml:space="preserve"> </w:t>
      </w:r>
      <w:r>
        <w:rPr>
          <w:rFonts w:ascii="Times New Roman" w:hAnsi="Times New Roman"/>
          <w:color w:val="000000"/>
          <w:sz w:val="24"/>
        </w:rPr>
        <w:t>of my Performance Share Unit Agreement or a Change in Control of the Company, my shares of Company Stock will be distributed to me in a single distribution within 30 days following the date of such event.</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b/>
          <w:i/>
          <w:color w:val="000000"/>
          <w:sz w:val="24"/>
        </w:rPr>
      </w:pPr>
      <w:r>
        <w:rPr>
          <w:rFonts w:ascii="Times New Roman" w:hAnsi="Times New Roman"/>
          <w:b/>
          <w:i/>
          <w:color w:val="000000"/>
          <w:sz w:val="24"/>
        </w:rPr>
        <w:t>If at any time I have a Separation from Service for Cause, I will forfeit all PSUs (whether or not vested) and all underlying shares of Company Stock that have not been distributed to me, including those deferred under this Deferral Election Form.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both"/>
        <w:rPr>
          <w:color w:val="000000"/>
        </w:rPr>
      </w:pPr>
      <w:r>
        <w:rPr>
          <w:color w:val="000000"/>
        </w:rPr>
        <w:t>•</w:t>
      </w:r>
    </w:p>
    <w:p>
      <w:pPr>
        <w:pStyle w:val="TextBody"/>
        <w:bidi w:val="0"/>
        <w:spacing w:before="0" w:after="120"/>
        <w:jc w:val="both"/>
        <w:rPr>
          <w:rFonts w:ascii="Times New Roman" w:hAnsi="Times New Roman"/>
          <w:color w:val="000000"/>
          <w:sz w:val="24"/>
        </w:rPr>
      </w:pPr>
      <w:r>
        <w:rPr>
          <w:rFonts w:ascii="Times New Roman" w:hAnsi="Times New Roman"/>
          <w:color w:val="000000"/>
          <w:sz w:val="24"/>
        </w:rPr>
        <w:t xml:space="preserve">My deferrals will be subject to all requirements of Section 409A of the Internal Revenue Code and provisions of the Plan as amended to comply with Section 409A.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 understand that this election is irrevocable. I also understand that I am making this election in accordance with the terms of the Plan and that the terms of the Plan will be used to resolve any ambiguity or inconsistency that may arise in connection with this election.</w:t>
      </w:r>
      <w:r>
        <w:rPr>
          <w:rFonts w:ascii="Times New Roman" w:hAnsi="Times New Roman"/>
          <w:color w:val="000000"/>
          <w:sz w:val="20"/>
        </w:rPr>
        <w:t xml:space="preserve">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_____________________________ ___________________________</w:t>
      </w:r>
    </w:p>
    <w:p>
      <w:pPr>
        <w:pStyle w:val="TextBody"/>
        <w:bidi w:val="0"/>
        <w:jc w:val="left"/>
        <w:rPr>
          <w:rFonts w:ascii="Times New Roman" w:hAnsi="Times New Roman"/>
          <w:color w:val="000000"/>
          <w:sz w:val="24"/>
        </w:rPr>
      </w:pPr>
      <w:r>
        <w:rPr>
          <w:rFonts w:ascii="Times New Roman" w:hAnsi="Times New Roman"/>
          <w:color w:val="000000"/>
          <w:sz w:val="24"/>
        </w:rPr>
        <w:t>Signature of Grantee Date</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right"/>
        <w:rPr>
          <w:rFonts w:ascii="Arial" w:hAnsi="Arial"/>
          <w:color w:val="000000"/>
          <w:sz w:val="20"/>
          <w:u w:val="single"/>
        </w:rPr>
      </w:pPr>
      <w:bookmarkStart w:id="20" w:name="ufi-ex10_2.htm"/>
      <w:bookmarkStart w:id="21" w:name="ksufiex10_2"/>
      <w:bookmarkEnd w:id="20"/>
      <w:bookmarkEnd w:id="21"/>
      <w:r>
        <w:rPr>
          <w:rFonts w:ascii="Arial" w:hAnsi="Arial"/>
          <w:color w:val="000000"/>
          <w:sz w:val="20"/>
          <w:u w:val="single"/>
        </w:rPr>
        <w:t>Exhibit 10.2</w:t>
      </w:r>
      <w:r>
        <w:br w:type="page"/>
      </w:r>
    </w:p>
    <w:p>
      <w:pPr>
        <w:pStyle w:val="TextBody"/>
        <w:bidi w:val="0"/>
        <w:jc w:val="center"/>
        <w:rPr>
          <w:rFonts w:ascii="Times New Roman" w:hAnsi="Times New Roman"/>
          <w:b/>
          <w:color w:val="000000"/>
          <w:sz w:val="24"/>
        </w:rPr>
      </w:pPr>
      <w:r>
        <w:rPr>
          <w:rFonts w:ascii="Times New Roman" w:hAnsi="Times New Roman"/>
          <w:b/>
          <w:color w:val="000000"/>
          <w:sz w:val="24"/>
        </w:rPr>
        <w:t>[FORM OF] CASH SETTLED PERFORMANCE SHARE UNIT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This Cash Settled Performance Share Unit Agreement (this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made by and between Unifi, Inc., a New York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and [EMPLOYEE], a key employee (the “</w:t>
      </w:r>
      <w:r>
        <w:rPr>
          <w:rFonts w:ascii="Times New Roman" w:hAnsi="Times New Roman"/>
          <w:b/>
          <w:i/>
          <w:color w:val="000000"/>
          <w:sz w:val="24"/>
        </w:rPr>
        <w:t>Grantee</w:t>
      </w:r>
      <w:r>
        <w:rPr>
          <w:rFonts w:ascii="Times New Roman" w:hAnsi="Times New Roman"/>
          <w:color w:val="000000"/>
          <w:sz w:val="20"/>
        </w:rPr>
        <w:t>”</w:t>
      </w:r>
      <w:r>
        <w:rPr>
          <w:rFonts w:ascii="Times New Roman" w:hAnsi="Times New Roman"/>
          <w:color w:val="000000"/>
          <w:sz w:val="24"/>
        </w:rPr>
        <w:t>) of the Company.</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WITNESSETH:</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Company has adopted the Unifi, Inc. Second Amended and Restated 2013 Incentive Compensation Plan, which became effective on October 29, 2020 and was further amended effective October 31, 2023 and October 28, 2025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and</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rPr>
        <w:t>WHEREAS</w:t>
      </w:r>
      <w:r>
        <w:rPr>
          <w:rFonts w:ascii="Times New Roman" w:hAnsi="Times New Roman"/>
          <w:color w:val="000000"/>
          <w:sz w:val="24"/>
        </w:rPr>
        <w:t>, the Compensation Committee (the “</w:t>
      </w:r>
      <w:r>
        <w:rPr>
          <w:rFonts w:ascii="Times New Roman" w:hAnsi="Times New Roman"/>
          <w:b/>
          <w:i/>
          <w:color w:val="000000"/>
          <w:sz w:val="24"/>
        </w:rPr>
        <w:t>Committee</w:t>
      </w:r>
      <w:r>
        <w:rPr>
          <w:rFonts w:ascii="Times New Roman" w:hAnsi="Times New Roman"/>
          <w:color w:val="000000"/>
          <w:sz w:val="20"/>
        </w:rPr>
        <w:t>”</w:t>
      </w:r>
      <w:r>
        <w:rPr>
          <w:rFonts w:ascii="Times New Roman" w:hAnsi="Times New Roman"/>
          <w:color w:val="000000"/>
          <w:sz w:val="24"/>
        </w:rPr>
        <w:t>) of the Board of Directors (the “</w:t>
      </w:r>
      <w:r>
        <w:rPr>
          <w:rFonts w:ascii="Times New Roman" w:hAnsi="Times New Roman"/>
          <w:b/>
          <w:i/>
          <w:color w:val="000000"/>
          <w:sz w:val="24"/>
        </w:rPr>
        <w:t>Board</w:t>
      </w:r>
      <w:r>
        <w:rPr>
          <w:rFonts w:ascii="Times New Roman" w:hAnsi="Times New Roman"/>
          <w:color w:val="000000"/>
          <w:sz w:val="20"/>
        </w:rPr>
        <w:t>”</w:t>
      </w:r>
      <w:r>
        <w:rPr>
          <w:rFonts w:ascii="Times New Roman" w:hAnsi="Times New Roman"/>
          <w:color w:val="000000"/>
          <w:sz w:val="24"/>
        </w:rPr>
        <w:t>) of the Company has determined that it is desirable and in the best interests of the Company to grant to the Grantee Performance Share Units (“</w:t>
      </w:r>
      <w:r>
        <w:rPr>
          <w:rFonts w:ascii="Times New Roman" w:hAnsi="Times New Roman"/>
          <w:b/>
          <w:i/>
          <w:color w:val="000000"/>
          <w:sz w:val="24"/>
        </w:rPr>
        <w:t>PSUs</w:t>
      </w:r>
      <w:r>
        <w:rPr>
          <w:rFonts w:ascii="Times New Roman" w:hAnsi="Times New Roman"/>
          <w:color w:val="000000"/>
          <w:sz w:val="20"/>
        </w:rPr>
        <w:t>”</w:t>
      </w:r>
      <w:r>
        <w:rPr>
          <w:rFonts w:ascii="Times New Roman" w:hAnsi="Times New Roman"/>
          <w:color w:val="000000"/>
          <w:sz w:val="24"/>
        </w:rPr>
        <w:t>) as an incentive for the Grantee to advance the interests of the Company;</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NOW, THEREFORE</w:t>
      </w:r>
      <w:r>
        <w:rPr>
          <w:rFonts w:ascii="Times New Roman" w:hAnsi="Times New Roman"/>
          <w:color w:val="000000"/>
          <w:sz w:val="24"/>
        </w:rPr>
        <w:t>, the parties agree as follows:</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1.</w:t>
      </w:r>
    </w:p>
    <w:p>
      <w:pPr>
        <w:pStyle w:val="TextBody"/>
        <w:bidi w:val="0"/>
        <w:jc w:val="both"/>
        <w:rPr/>
      </w:pPr>
      <w:r>
        <w:rPr>
          <w:rFonts w:ascii="Times New Roman" w:hAnsi="Times New Roman"/>
          <w:color w:val="000000"/>
          <w:sz w:val="24"/>
          <w:u w:val="single"/>
        </w:rPr>
        <w:t>Incorporation of Plan</w:t>
      </w:r>
      <w:r>
        <w:rPr>
          <w:rFonts w:ascii="Times New Roman" w:hAnsi="Times New Roman"/>
          <w:color w:val="000000"/>
          <w:sz w:val="24"/>
        </w:rPr>
        <w:t>. The Plan is incorporated by reference and made a part of this Agreement, and this Agreement shall be subject to the terms of the Plan, as the Plan may be amended from time to time, provided that any such amendment of the Plan must be made in accordance with Section 14 of the Plan. Unless otherwise defined herein, capitalized terms used in this Agreement shall have the meanings ascribed to them in the Plan.</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2.</w:t>
      </w:r>
    </w:p>
    <w:p>
      <w:pPr>
        <w:pStyle w:val="TextBody"/>
        <w:bidi w:val="0"/>
        <w:jc w:val="both"/>
        <w:rPr/>
      </w:pPr>
      <w:r>
        <w:rPr>
          <w:rFonts w:ascii="Times New Roman" w:hAnsi="Times New Roman"/>
          <w:color w:val="000000"/>
          <w:sz w:val="24"/>
          <w:u w:val="single"/>
        </w:rPr>
        <w:t>Grant of PSU; Notice of Grant</w:t>
      </w:r>
      <w:r>
        <w:rPr>
          <w:rFonts w:ascii="Times New Roman" w:hAnsi="Times New Roman"/>
          <w:color w:val="000000"/>
          <w:sz w:val="24"/>
        </w:rPr>
        <w:t>. Pursuant to the Plan and subject to the terms and conditions set forth herein and therein, the Company has granted to the “</w:t>
      </w:r>
      <w:r>
        <w:rPr>
          <w:rFonts w:ascii="Times New Roman" w:hAnsi="Times New Roman"/>
          <w:b/>
          <w:i/>
          <w:color w:val="000000"/>
          <w:sz w:val="24"/>
        </w:rPr>
        <w:t>Grantee</w:t>
      </w:r>
      <w:r>
        <w:rPr>
          <w:rFonts w:ascii="Times New Roman" w:hAnsi="Times New Roman"/>
          <w:color w:val="000000"/>
          <w:sz w:val="24"/>
        </w:rPr>
        <w:t>,” and effective as of the “</w:t>
      </w:r>
      <w:r>
        <w:rPr>
          <w:rFonts w:ascii="Times New Roman" w:hAnsi="Times New Roman"/>
          <w:b/>
          <w:i/>
          <w:color w:val="000000"/>
          <w:sz w:val="24"/>
        </w:rPr>
        <w:t>Grant Date</w:t>
      </w:r>
      <w:r>
        <w:rPr>
          <w:rFonts w:ascii="Times New Roman" w:hAnsi="Times New Roman"/>
          <w:color w:val="000000"/>
          <w:sz w:val="24"/>
        </w:rPr>
        <w:t xml:space="preserve">,” a certain number of PSUs, all as set forth in Section 3(c) of this Agreement and on the Notice of Grant attached hereto as </w:t>
      </w:r>
      <w:r>
        <w:rPr>
          <w:rFonts w:ascii="Times New Roman" w:hAnsi="Times New Roman"/>
          <w:color w:val="000000"/>
          <w:sz w:val="24"/>
          <w:u w:val="single"/>
        </w:rPr>
        <w:t>Annex A</w:t>
      </w:r>
      <w:r>
        <w:rPr>
          <w:rFonts w:ascii="Times New Roman" w:hAnsi="Times New Roman"/>
          <w:color w:val="000000"/>
          <w:sz w:val="24"/>
        </w:rPr>
        <w:t xml:space="preserve">, which Notice of Grant is incorporated by reference herein.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3.</w:t>
      </w:r>
    </w:p>
    <w:p>
      <w:pPr>
        <w:pStyle w:val="TextBody"/>
        <w:bidi w:val="0"/>
        <w:jc w:val="both"/>
        <w:rPr/>
      </w:pPr>
      <w:r>
        <w:rPr>
          <w:rFonts w:ascii="Times New Roman" w:hAnsi="Times New Roman"/>
          <w:color w:val="000000"/>
          <w:sz w:val="24"/>
          <w:u w:val="single"/>
        </w:rPr>
        <w:t>Terms of PSUs</w:t>
      </w:r>
      <w:r>
        <w:rPr>
          <w:rFonts w:ascii="Times New Roman" w:hAnsi="Times New Roman"/>
          <w:color w:val="000000"/>
          <w:sz w:val="24"/>
        </w:rPr>
        <w:t>. The PSUs granted under this Agreement are subject to the following terms, conditions and restrictions: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No Ownership</w:t>
      </w:r>
      <w:r>
        <w:rPr>
          <w:rFonts w:ascii="Times New Roman" w:hAnsi="Times New Roman"/>
          <w:color w:val="000000"/>
          <w:sz w:val="24"/>
        </w:rPr>
        <w:t>. The Grantee shall not possess any incidents of ownership (including, without limitation, dividend and voting rights) in shares of the Company Stock in respect of the PSUs until such PSUs have been converted into shares of Company Stock and such shares have been distributed to the Grantee in the form of shares of Company Stock.</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Transfer of PSUs</w:t>
      </w:r>
      <w:r>
        <w:rPr>
          <w:rFonts w:ascii="Times New Roman" w:hAnsi="Times New Roman"/>
          <w:color w:val="000000"/>
          <w:sz w:val="24"/>
        </w:rPr>
        <w:t xml:space="preserve">. Except as provided in this </w:t>
      </w:r>
      <w:r>
        <w:rPr>
          <w:rFonts w:ascii="Times New Roman" w:hAnsi="Times New Roman"/>
          <w:color w:val="000000"/>
          <w:sz w:val="24"/>
          <w:u w:val="single"/>
        </w:rPr>
        <w:t>Section 3(b)</w:t>
      </w:r>
      <w:r>
        <w:rPr>
          <w:rFonts w:ascii="Times New Roman" w:hAnsi="Times New Roman"/>
          <w:color w:val="000000"/>
          <w:sz w:val="24"/>
        </w:rPr>
        <w:t>, the PSUs and any interest therein may not be sold, assigned, transferred, pledged, hypothecated or otherwise disposed of, except by will or the laws of descent and distribution and subject to the conditions set forth in the Plan and this Agreement. Any attempt to</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transfer PSUs in contravention of this Section is void </w:t>
      </w:r>
      <w:r>
        <w:rPr>
          <w:rFonts w:ascii="Times New Roman" w:hAnsi="Times New Roman"/>
          <w:color w:val="000000"/>
          <w:sz w:val="24"/>
          <w:u w:val="single"/>
        </w:rPr>
        <w:t>ab initio</w:t>
      </w:r>
      <w:r>
        <w:rPr>
          <w:rFonts w:ascii="Times New Roman" w:hAnsi="Times New Roman"/>
          <w:color w:val="000000"/>
          <w:sz w:val="24"/>
        </w:rPr>
        <w:t>. PSUs shall not be subject to execution, attachment or other process.</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Vesting and Conversion of PSUs</w:t>
      </w:r>
      <w:r>
        <w:rPr>
          <w:rFonts w:ascii="Times New Roman" w:hAnsi="Times New Roman"/>
          <w:color w:val="000000"/>
          <w:sz w:val="24"/>
        </w:rPr>
        <w:t xml:space="preserve">. The PSUs granted under this Agreement shall be subject to a graded vesting over a [____] year term, with performance periods and vesting terms presented below and in </w:t>
      </w:r>
      <w:r>
        <w:rPr>
          <w:rFonts w:ascii="Times New Roman" w:hAnsi="Times New Roman"/>
          <w:color w:val="000000"/>
          <w:sz w:val="24"/>
          <w:u w:val="single"/>
        </w:rPr>
        <w:t>Annex A</w:t>
      </w:r>
      <w:r>
        <w:rPr>
          <w:rFonts w:ascii="Times New Roman" w:hAnsi="Times New Roman"/>
          <w:color w:val="000000"/>
          <w:sz w:val="24"/>
        </w:rPr>
        <w:t>, such that a percentage of the target number of PSUs available for vesting for the applicable “</w:t>
      </w:r>
      <w:r>
        <w:rPr>
          <w:rFonts w:ascii="Times New Roman" w:hAnsi="Times New Roman"/>
          <w:b/>
          <w:i/>
          <w:color w:val="000000"/>
          <w:sz w:val="24"/>
        </w:rPr>
        <w:t>Performance Period</w:t>
      </w:r>
      <w:r>
        <w:rPr>
          <w:rFonts w:ascii="Times New Roman" w:hAnsi="Times New Roman"/>
          <w:color w:val="000000"/>
          <w:sz w:val="20"/>
        </w:rPr>
        <w:t xml:space="preserve">” </w:t>
      </w:r>
      <w:r>
        <w:rPr>
          <w:rFonts w:ascii="Times New Roman" w:hAnsi="Times New Roman"/>
          <w:color w:val="000000"/>
          <w:sz w:val="24"/>
        </w:rPr>
        <w:t>listed below will become vested on the applicable “</w:t>
      </w:r>
      <w:r>
        <w:rPr>
          <w:rFonts w:ascii="Times New Roman" w:hAnsi="Times New Roman"/>
          <w:b/>
          <w:i/>
          <w:color w:val="000000"/>
          <w:sz w:val="24"/>
        </w:rPr>
        <w:t>Vesting Date</w:t>
      </w:r>
      <w:r>
        <w:rPr>
          <w:rFonts w:ascii="Times New Roman" w:hAnsi="Times New Roman"/>
          <w:color w:val="000000"/>
          <w:sz w:val="20"/>
        </w:rPr>
        <w:t xml:space="preserve">” </w:t>
      </w:r>
      <w:r>
        <w:rPr>
          <w:rFonts w:ascii="Times New Roman" w:hAnsi="Times New Roman"/>
          <w:color w:val="000000"/>
          <w:sz w:val="24"/>
        </w:rPr>
        <w:t>listed below based on the Company’s performance during the applicable Performance Period, subject in each case to (i) certification by the Committee of the level of achievement of the applicable performance goal(s) for such Performance Period, and (ii) the Grantee’s continued employment with the Company through the applicable Vesting Date.</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897"/>
        <w:gridCol w:w="2707"/>
        <w:gridCol w:w="3352"/>
        <w:gridCol w:w="1249"/>
      </w:tblGrid>
      <w:tr>
        <w:trPr/>
        <w:tc>
          <w:tcPr>
            <w:tcW w:w="2897" w:type="dxa"/>
            <w:tcBorders/>
            <w:vAlign w:val="center"/>
          </w:tcPr>
          <w:p>
            <w:pPr>
              <w:pStyle w:val="TableContents"/>
              <w:bidi w:val="0"/>
              <w:spacing w:before="0" w:after="283"/>
              <w:jc w:val="left"/>
              <w:rPr>
                <w:sz w:val="4"/>
                <w:szCs w:val="4"/>
              </w:rPr>
            </w:pPr>
            <w:r>
              <w:rPr>
                <w:sz w:val="4"/>
                <w:szCs w:val="4"/>
              </w:rPr>
            </w:r>
          </w:p>
        </w:tc>
        <w:tc>
          <w:tcPr>
            <w:tcW w:w="2707" w:type="dxa"/>
            <w:tcBorders/>
            <w:vAlign w:val="center"/>
          </w:tcPr>
          <w:p>
            <w:pPr>
              <w:pStyle w:val="TableContents"/>
              <w:bidi w:val="0"/>
              <w:spacing w:before="0" w:after="283"/>
              <w:jc w:val="left"/>
              <w:rPr>
                <w:sz w:val="4"/>
                <w:szCs w:val="4"/>
              </w:rPr>
            </w:pPr>
            <w:r>
              <w:rPr>
                <w:sz w:val="4"/>
                <w:szCs w:val="4"/>
              </w:rPr>
            </w:r>
          </w:p>
        </w:tc>
        <w:tc>
          <w:tcPr>
            <w:tcW w:w="3352"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r>
      <w:tr>
        <w:trPr/>
        <w:tc>
          <w:tcPr>
            <w:tcW w:w="289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Performance Period Beginning Date</w:t>
            </w:r>
          </w:p>
        </w:tc>
        <w:tc>
          <w:tcPr>
            <w:tcW w:w="2707"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b/>
                <w:color w:val="000000"/>
                <w:sz w:val="24"/>
              </w:rPr>
            </w:pPr>
            <w:r>
              <w:rPr>
                <w:rFonts w:ascii="Times New Roman" w:hAnsi="Times New Roman"/>
                <w:b/>
                <w:color w:val="000000"/>
                <w:sz w:val="24"/>
              </w:rPr>
              <w:t>Performance Period Ending Date</w:t>
            </w:r>
          </w:p>
        </w:tc>
        <w:tc>
          <w:tcPr>
            <w:tcW w:w="3352"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120"/>
              <w:jc w:val="center"/>
              <w:rPr>
                <w:rFonts w:ascii="Times New Roman" w:hAnsi="Times New Roman"/>
                <w:b/>
                <w:color w:val="000000"/>
                <w:sz w:val="24"/>
              </w:rPr>
            </w:pPr>
            <w:r>
              <w:rPr>
                <w:rFonts w:ascii="Times New Roman" w:hAnsi="Times New Roman"/>
                <w:b/>
                <w:color w:val="000000"/>
                <w:sz w:val="24"/>
              </w:rPr>
              <w:t>Target Number of PSUs Available for Vesting</w:t>
            </w:r>
          </w:p>
        </w:tc>
        <w:tc>
          <w:tcPr>
            <w:tcW w:w="1249"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120" w:after="283"/>
              <w:jc w:val="center"/>
              <w:rPr>
                <w:rFonts w:ascii="Times New Roman" w:hAnsi="Times New Roman"/>
                <w:b/>
                <w:color w:val="000000"/>
                <w:sz w:val="24"/>
              </w:rPr>
            </w:pPr>
            <w:r>
              <w:rPr>
                <w:rFonts w:ascii="Times New Roman" w:hAnsi="Times New Roman"/>
                <w:b/>
                <w:color w:val="000000"/>
                <w:sz w:val="24"/>
              </w:rPr>
              <w:t>Vesting Date</w:t>
            </w:r>
          </w:p>
        </w:tc>
      </w:tr>
      <w:tr>
        <w:trPr/>
        <w:tc>
          <w:tcPr>
            <w:tcW w:w="289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w:t>
            </w:r>
          </w:p>
        </w:tc>
        <w:tc>
          <w:tcPr>
            <w:tcW w:w="27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w:t>
            </w:r>
          </w:p>
        </w:tc>
        <w:tc>
          <w:tcPr>
            <w:tcW w:w="335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[A]</w:t>
            </w:r>
          </w:p>
        </w:tc>
        <w:tc>
          <w:tcPr>
            <w:tcW w:w="12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w:t>
            </w:r>
          </w:p>
        </w:tc>
      </w:tr>
      <w:tr>
        <w:trPr/>
        <w:tc>
          <w:tcPr>
            <w:tcW w:w="289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w:t>
            </w:r>
          </w:p>
        </w:tc>
        <w:tc>
          <w:tcPr>
            <w:tcW w:w="27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w:t>
            </w:r>
          </w:p>
        </w:tc>
        <w:tc>
          <w:tcPr>
            <w:tcW w:w="335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[B]</w:t>
            </w:r>
          </w:p>
        </w:tc>
        <w:tc>
          <w:tcPr>
            <w:tcW w:w="12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w:t>
            </w:r>
          </w:p>
        </w:tc>
      </w:tr>
      <w:tr>
        <w:trPr/>
        <w:tc>
          <w:tcPr>
            <w:tcW w:w="2897"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w:t>
            </w:r>
          </w:p>
        </w:tc>
        <w:tc>
          <w:tcPr>
            <w:tcW w:w="2707"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w:t>
            </w:r>
          </w:p>
        </w:tc>
        <w:tc>
          <w:tcPr>
            <w:tcW w:w="3352"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[C]</w:t>
            </w:r>
          </w:p>
        </w:tc>
        <w:tc>
          <w:tcPr>
            <w:tcW w:w="1249"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w:t>
            </w:r>
          </w:p>
        </w:tc>
      </w:tr>
    </w:tbl>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On the applicable Vesting Date, the vested PSUs shall be converted into a cash amount equal to the Fair Market Value of a share of Company Stock, as of such Vesting Date multiplied by the number of PSUs vested, and such cash amount shall be paid to the Grantee within 30 days following such Vesting Date.</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Additional Vesting Provisions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If, prior to a Vesting Date, the Grantee dies or has a Separation from Service as a result of Disability, a </w:t>
      </w:r>
      <w:r>
        <w:rPr>
          <w:rFonts w:ascii="Times New Roman" w:hAnsi="Times New Roman"/>
          <w:i/>
          <w:color w:val="000000"/>
          <w:sz w:val="24"/>
        </w:rPr>
        <w:t xml:space="preserve">pro rata </w:t>
      </w:r>
      <w:r>
        <w:rPr>
          <w:rFonts w:ascii="Times New Roman" w:hAnsi="Times New Roman"/>
          <w:color w:val="000000"/>
          <w:sz w:val="24"/>
        </w:rPr>
        <w:t xml:space="preserve">portion, as determined on a </w:t>
      </w:r>
      <w:r>
        <w:rPr>
          <w:rFonts w:ascii="Times New Roman" w:hAnsi="Times New Roman"/>
          <w:i/>
          <w:color w:val="000000"/>
          <w:sz w:val="24"/>
        </w:rPr>
        <w:t xml:space="preserve">per diem </w:t>
      </w:r>
      <w:r>
        <w:rPr>
          <w:rFonts w:ascii="Times New Roman" w:hAnsi="Times New Roman"/>
          <w:color w:val="000000"/>
          <w:sz w:val="24"/>
        </w:rPr>
        <w:t>basis for the portion of the applicable Performance Period for such Vesting Date that Grantee was in the continuous employment of the Company multiplied by the target number of PSUs available for vesting for such Performance Period as set forth in Section 3(c) of this Agreement (the “</w:t>
      </w:r>
      <w:r>
        <w:rPr>
          <w:rFonts w:ascii="Times New Roman" w:hAnsi="Times New Roman"/>
          <w:b/>
          <w:i/>
          <w:color w:val="000000"/>
          <w:sz w:val="24"/>
        </w:rPr>
        <w:t>Target Number</w:t>
      </w:r>
      <w:r>
        <w:rPr>
          <w:rFonts w:ascii="Times New Roman" w:hAnsi="Times New Roman"/>
          <w:color w:val="000000"/>
          <w:sz w:val="20"/>
        </w:rPr>
        <w:t>”</w:t>
      </w:r>
      <w:r>
        <w:rPr>
          <w:rFonts w:ascii="Times New Roman" w:hAnsi="Times New Roman"/>
          <w:color w:val="000000"/>
          <w:sz w:val="24"/>
        </w:rPr>
        <w:t>), of PSUs shall become fully vested, converted into a cash amount equal to the Fair Market Value of a share of Company Stock as of the date of such death or Separation from Service multiplied by the number of PSUs vesting, and paid to the Grantee within 30 days following the Grantee’s death or such Separation from Service, as the case may be.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(ii) If, prior to a Vesting Date, the Grantee has a Separation from Service due to the Grantee’s Retirement, the Committee may elect to award a </w:t>
      </w:r>
      <w:r>
        <w:rPr>
          <w:rFonts w:ascii="Times New Roman" w:hAnsi="Times New Roman"/>
          <w:i/>
          <w:color w:val="000000"/>
          <w:sz w:val="24"/>
        </w:rPr>
        <w:t xml:space="preserve">pro rata </w:t>
      </w:r>
      <w:r>
        <w:rPr>
          <w:rFonts w:ascii="Times New Roman" w:hAnsi="Times New Roman"/>
          <w:color w:val="000000"/>
          <w:sz w:val="24"/>
        </w:rPr>
        <w:t xml:space="preserve">portion, as determined on a </w:t>
      </w:r>
      <w:r>
        <w:rPr>
          <w:rFonts w:ascii="Times New Roman" w:hAnsi="Times New Roman"/>
          <w:i/>
          <w:color w:val="000000"/>
          <w:sz w:val="24"/>
        </w:rPr>
        <w:t xml:space="preserve">per diem </w:t>
      </w:r>
      <w:r>
        <w:rPr>
          <w:rFonts w:ascii="Times New Roman" w:hAnsi="Times New Roman"/>
          <w:color w:val="000000"/>
          <w:sz w:val="24"/>
        </w:rPr>
        <w:t>basis for the portion of the applicable Performance Period for such Vesting Date that Grantee was in the continuous</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employment of the Company, of the number of PSUs that would have become vested PSUs (if the Grantee’s employment had continued to the Vesting Date) pursuant to the performance criteria described in </w:t>
      </w:r>
      <w:r>
        <w:rPr>
          <w:rFonts w:ascii="Times New Roman" w:hAnsi="Times New Roman"/>
          <w:color w:val="000000"/>
          <w:sz w:val="24"/>
          <w:u w:val="single"/>
        </w:rPr>
        <w:t>Annex A</w:t>
      </w:r>
      <w:r>
        <w:rPr>
          <w:rFonts w:ascii="Times New Roman" w:hAnsi="Times New Roman"/>
          <w:color w:val="000000"/>
          <w:sz w:val="20"/>
        </w:rPr>
        <w:t xml:space="preserve"> </w:t>
      </w:r>
      <w:r>
        <w:rPr>
          <w:rFonts w:ascii="Times New Roman" w:hAnsi="Times New Roman"/>
          <w:color w:val="000000"/>
          <w:sz w:val="24"/>
        </w:rPr>
        <w:t>and such PSUs shall be converted into a cash amount equal to the Fair Market Value of a share of Company Stock as of the date of such Retirement multiplied by the number of PSUs vesting on such date, and paid to the Grantee within 30 days following the Grantee’s Retirement.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(iii) If, after the Grantee attains age 65 but prior to a Vesting Date, the Grantee has a Separation from Service due to an involuntary termination by the Company without Cause (as defined below), the Grantee shall vest in a </w:t>
      </w:r>
      <w:r>
        <w:rPr>
          <w:rFonts w:ascii="Times New Roman" w:hAnsi="Times New Roman"/>
          <w:i/>
          <w:color w:val="000000"/>
          <w:sz w:val="24"/>
        </w:rPr>
        <w:t xml:space="preserve">pro rata </w:t>
      </w:r>
      <w:r>
        <w:rPr>
          <w:rFonts w:ascii="Times New Roman" w:hAnsi="Times New Roman"/>
          <w:color w:val="000000"/>
          <w:sz w:val="24"/>
        </w:rPr>
        <w:t xml:space="preserve">portion, as determined on a </w:t>
      </w:r>
      <w:r>
        <w:rPr>
          <w:rFonts w:ascii="Times New Roman" w:hAnsi="Times New Roman"/>
          <w:i/>
          <w:color w:val="000000"/>
          <w:sz w:val="24"/>
        </w:rPr>
        <w:t xml:space="preserve">per diem </w:t>
      </w:r>
      <w:r>
        <w:rPr>
          <w:rFonts w:ascii="Times New Roman" w:hAnsi="Times New Roman"/>
          <w:color w:val="000000"/>
          <w:sz w:val="24"/>
        </w:rPr>
        <w:t xml:space="preserve">basis for the portion of the applicable Performance Period for such Vesting Date that Grantee was in the continuous employment of the Company, of the number of PSUs that would have become vested PSUs (if the Grantee’s employment had continued to the Vesting Date) pursuant to the performance criteria described in </w:t>
      </w:r>
      <w:r>
        <w:rPr>
          <w:rFonts w:ascii="Times New Roman" w:hAnsi="Times New Roman"/>
          <w:color w:val="000000"/>
          <w:sz w:val="24"/>
          <w:u w:val="single"/>
        </w:rPr>
        <w:t>Annex A</w:t>
      </w:r>
      <w:r>
        <w:rPr>
          <w:rFonts w:ascii="Times New Roman" w:hAnsi="Times New Roman"/>
          <w:color w:val="000000"/>
          <w:sz w:val="24"/>
        </w:rPr>
        <w:t>, and such PSUs shall be converted into a cash amount equal to the Fair Market Value of a share of Company Stock as of the date of such Separation from Service, multiplied by the number of PSUs vesting on such date, and paid to the Grantee within 30 days following such Separation of Service.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(iv) If, prior to the Vesting Date, Grantee has a Separation from Service for any reason not covered in </w:t>
      </w:r>
      <w:r>
        <w:rPr>
          <w:rFonts w:ascii="Times New Roman" w:hAnsi="Times New Roman"/>
          <w:color w:val="000000"/>
          <w:sz w:val="24"/>
          <w:u w:val="single"/>
        </w:rPr>
        <w:t>Section 3(d)(i)</w:t>
      </w:r>
      <w:r>
        <w:rPr>
          <w:rFonts w:ascii="Times New Roman" w:hAnsi="Times New Roman"/>
          <w:color w:val="000000"/>
          <w:sz w:val="24"/>
        </w:rPr>
        <w:t xml:space="preserve">, </w:t>
      </w:r>
      <w:r>
        <w:rPr>
          <w:rFonts w:ascii="Times New Roman" w:hAnsi="Times New Roman"/>
          <w:color w:val="000000"/>
          <w:sz w:val="24"/>
          <w:u w:val="single"/>
        </w:rPr>
        <w:t>Section 3(d)(ii)</w:t>
      </w:r>
      <w:r>
        <w:rPr>
          <w:rFonts w:ascii="Times New Roman" w:hAnsi="Times New Roman"/>
          <w:color w:val="000000"/>
          <w:sz w:val="20"/>
        </w:rPr>
        <w:t xml:space="preserve"> </w:t>
      </w:r>
      <w:r>
        <w:rPr>
          <w:rFonts w:ascii="Times New Roman" w:hAnsi="Times New Roman"/>
          <w:color w:val="000000"/>
          <w:sz w:val="24"/>
        </w:rPr>
        <w:t xml:space="preserve">or </w:t>
      </w:r>
      <w:r>
        <w:rPr>
          <w:rFonts w:ascii="Times New Roman" w:hAnsi="Times New Roman"/>
          <w:color w:val="000000"/>
          <w:sz w:val="24"/>
          <w:u w:val="single"/>
        </w:rPr>
        <w:t>Section 3(d)(iii)</w:t>
      </w:r>
      <w:r>
        <w:rPr>
          <w:rFonts w:ascii="Times New Roman" w:hAnsi="Times New Roman"/>
          <w:color w:val="000000"/>
          <w:sz w:val="20"/>
        </w:rPr>
        <w:t xml:space="preserve"> </w:t>
      </w:r>
      <w:r>
        <w:rPr>
          <w:rFonts w:ascii="Times New Roman" w:hAnsi="Times New Roman"/>
          <w:color w:val="000000"/>
          <w:sz w:val="24"/>
        </w:rPr>
        <w:t>above, then the Grantee shall forfeit the PSUs and shall not be entitled to receive any payment under this Agreement with respect to such forfeited PSUs.</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(v) Notwithstanding the foregoing, the Grantee shall immediately forfeit all PSUs (whether or not vested) upon the Grantee’s Separation from Service for Cause, whether before or after the Vesting Date.</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(vi) In the event of a Change in Control (as defined in the Plan), the Target Number of PSUs for all unexpired Performance Periods shall become fully vested, and such PSUs shall be converted into a cash amount equal to the Fair Market Value of a share of Company Stock as of the date of such Change in Control multiplied by the number of PSUs vesting on such date, and immediately paid to the Grantee within 30 days following the Change in Control.</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(vii) For purposes of this Agreement, “</w:t>
      </w:r>
      <w:r>
        <w:rPr>
          <w:rFonts w:ascii="Times New Roman" w:hAnsi="Times New Roman"/>
          <w:b/>
          <w:i/>
          <w:color w:val="000000"/>
          <w:sz w:val="24"/>
        </w:rPr>
        <w:t>Cause</w:t>
      </w:r>
      <w:r>
        <w:rPr>
          <w:rFonts w:ascii="Times New Roman" w:hAnsi="Times New Roman"/>
          <w:color w:val="000000"/>
          <w:sz w:val="20"/>
        </w:rPr>
        <w:t xml:space="preserve">” </w:t>
      </w:r>
      <w:r>
        <w:rPr>
          <w:rFonts w:ascii="Times New Roman" w:hAnsi="Times New Roman"/>
          <w:color w:val="000000"/>
          <w:sz w:val="24"/>
        </w:rPr>
        <w:t>means any of the following, as determined in good faith by the Committee: (A) an act of embezzlement, theft or misappropriation by the Grantee of any property of the Company or any Related Company; (B) any breach by the Grantee of any material provision of any material agreement to which the Grantee is a party with the Company or any Related Company that is not cured, to the extent the breach is susceptible to being cured, within fourteen (14) days after the Company gives express notice to the Grantee describing such breach; (C) gross negligence by the Grantee in the discharge of his or her lawful duties to the Company or any Related Company (after receiving express notice from the Company specifying the manner in which he or she is alleged</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to have been grossly negligent and having had the opportunity to cure the same within thirty (30) days from receipt of such notice); (D) any act by the Grantee constituting a felony or a crime that otherwise involves dishonesty or misrepresentation; (E) the Grantee’s breach of any fiduciary duty, under applicable law, to the Company or any Related Company, regardless of whether such conduct constitutes gross negligence; or (F) any chemical or alcohol dependence by the Grantee that materially and adversely affects the performance of his or her duties or responsibilities to the Company or any Related Company.</w:t>
      </w:r>
      <w:r>
        <w:rPr>
          <w:rFonts w:ascii="Times New Roman" w:hAnsi="Times New Roman"/>
          <w:color w:val="000000"/>
          <w:sz w:val="2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4.</w:t>
      </w:r>
    </w:p>
    <w:p>
      <w:pPr>
        <w:pStyle w:val="TextBody"/>
        <w:bidi w:val="0"/>
        <w:jc w:val="both"/>
        <w:rPr/>
      </w:pPr>
      <w:r>
        <w:rPr>
          <w:rFonts w:ascii="Times New Roman" w:hAnsi="Times New Roman"/>
          <w:color w:val="000000"/>
          <w:sz w:val="24"/>
          <w:u w:val="single"/>
        </w:rPr>
        <w:t>Equitable Adjustment</w:t>
      </w:r>
      <w:r>
        <w:rPr>
          <w:rFonts w:ascii="Times New Roman" w:hAnsi="Times New Roman"/>
          <w:color w:val="000000"/>
          <w:sz w:val="24"/>
        </w:rPr>
        <w:t>. The aggregate number of shares of Company Stock subject to the PSUs shall be proportionately adjusted for any increase or decrease in the number of issued and outstanding shares of Company Stock resulting from a subdivision or consolidation of shares or other capital adjustment, or the payment of a stock dividend or other increase or decrease in such shares, effected without the receipt of consideration by the Company, or other change in corporate or capital structure. The Committee shall make the foregoing changes and any other changes, including changes in the classes of securities available, to the extent reasonably necessary or desirable to preserve the intended benefits under this Agreement in the event of any other reorganization, recapitalization, merger, consolidation, spin-off, extraordinary dividend or other distribution or similar transaction involving the Company.</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5.</w:t>
      </w:r>
    </w:p>
    <w:p>
      <w:pPr>
        <w:pStyle w:val="TextBody"/>
        <w:bidi w:val="0"/>
        <w:jc w:val="both"/>
        <w:rPr/>
      </w:pPr>
      <w:r>
        <w:rPr>
          <w:rFonts w:ascii="Times New Roman" w:hAnsi="Times New Roman"/>
          <w:color w:val="000000"/>
          <w:sz w:val="24"/>
          <w:u w:val="single"/>
        </w:rPr>
        <w:t>Taxes</w:t>
      </w:r>
      <w:r>
        <w:rPr>
          <w:rFonts w:ascii="Times New Roman" w:hAnsi="Times New Roman"/>
          <w:color w:val="000000"/>
          <w:sz w:val="24"/>
        </w:rPr>
        <w:t xml:space="preserve">. The Company shall withhold from any cash payment due to the Grantee hereunder the amount of any Applicable Withholding Taxes. </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6.</w:t>
      </w:r>
    </w:p>
    <w:p>
      <w:pPr>
        <w:pStyle w:val="TextBody"/>
        <w:bidi w:val="0"/>
        <w:jc w:val="both"/>
        <w:rPr/>
      </w:pPr>
      <w:r>
        <w:rPr>
          <w:rFonts w:ascii="Times New Roman" w:hAnsi="Times New Roman"/>
          <w:color w:val="000000"/>
          <w:sz w:val="24"/>
          <w:u w:val="single"/>
        </w:rPr>
        <w:t>No Right to Continued Employment</w:t>
      </w:r>
      <w:r>
        <w:rPr>
          <w:rFonts w:ascii="Times New Roman" w:hAnsi="Times New Roman"/>
          <w:color w:val="000000"/>
          <w:sz w:val="24"/>
        </w:rPr>
        <w:t>. Nothing contained herein shall be deemed to confer upon the Grantee any right to continue in the employment of the Company.</w:t>
      </w:r>
    </w:p>
    <w:p>
      <w:pPr>
        <w:pStyle w:val="TextBody"/>
        <w:bidi w:val="0"/>
        <w:jc w:val="left"/>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7.</w:t>
      </w:r>
    </w:p>
    <w:p>
      <w:pPr>
        <w:pStyle w:val="TextBody"/>
        <w:bidi w:val="0"/>
        <w:jc w:val="both"/>
        <w:rPr/>
      </w:pPr>
      <w:r>
        <w:rPr>
          <w:rFonts w:ascii="Times New Roman" w:hAnsi="Times New Roman"/>
          <w:color w:val="000000"/>
          <w:sz w:val="24"/>
          <w:u w:val="single"/>
        </w:rPr>
        <w:t>Section 409A</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(a) It is intended that this Agreement comply in all respects with the requirements of Section 409A of the Code and applicable Treasury Regulations and other generally applicable guidance issued thereunder (collectively, “</w:t>
      </w:r>
      <w:r>
        <w:rPr>
          <w:rFonts w:ascii="Times New Roman" w:hAnsi="Times New Roman"/>
          <w:b/>
          <w:i/>
          <w:color w:val="000000"/>
          <w:sz w:val="24"/>
        </w:rPr>
        <w:t>Section 409A</w:t>
      </w:r>
      <w:r>
        <w:rPr>
          <w:rFonts w:ascii="Times New Roman" w:hAnsi="Times New Roman"/>
          <w:color w:val="000000"/>
          <w:sz w:val="20"/>
        </w:rPr>
        <w:t>”</w:t>
      </w:r>
      <w:r>
        <w:rPr>
          <w:rFonts w:ascii="Times New Roman" w:hAnsi="Times New Roman"/>
          <w:color w:val="000000"/>
          <w:sz w:val="24"/>
        </w:rPr>
        <w:t>), and this Agreement shall be interpreted for all purposes in accordance with this intent.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(b) Notwithstanding any other term or provision of this Agreement (including any term or provision of the Plan incorporated herein by reference), the parties hereto agree that, from time to time, the Company may, without prior notice to or consent of the Grantee, amend this Agreement to the extent determined by the Company, in the exercise of its discretion in good faith, to be necessary or advisable to prevent the inclusion in the Grantee’s gross income pursuant to the applicable Treasury Regulations of any compensation intended to be deferred hereunder. The Company shall notify the Grantee as soon as reasonably practicable of any such amendment affecting the Grantee.</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 If the amounts payable under this Agreement are subject to any taxes, penalties or interest under Section 409A, the Grantee shall be solely liable for the payment of any such taxes, penalties or interest.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(d) Except as otherwise specifically provided herein, the time and method for payment of the PSUs as provided in </w:t>
      </w:r>
      <w:r>
        <w:rPr>
          <w:rFonts w:ascii="Times New Roman" w:hAnsi="Times New Roman"/>
          <w:color w:val="000000"/>
          <w:sz w:val="24"/>
          <w:u w:val="single"/>
        </w:rPr>
        <w:t>Section 3</w:t>
      </w:r>
      <w:r>
        <w:rPr>
          <w:rFonts w:ascii="Times New Roman" w:hAnsi="Times New Roman"/>
          <w:color w:val="000000"/>
          <w:sz w:val="20"/>
        </w:rPr>
        <w:t xml:space="preserve"> </w:t>
      </w:r>
      <w:r>
        <w:rPr>
          <w:rFonts w:ascii="Times New Roman" w:hAnsi="Times New Roman"/>
          <w:color w:val="000000"/>
          <w:sz w:val="24"/>
        </w:rPr>
        <w:t>and the Deferral Election Form shall not be accelerated or delayed for any reason, unless to the extent necessary to comply with, or as may be permitted under, Section 409A.</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(e) If the Grantee is deemed on the date of a Separation from Service to be a “specified employee” (within the meaning of that term under Section 409A(a)(2)(B) of the Code and determined using any identification methodology and procedure selected by the Company from time to time, or the default methodology and procedure specified under Code Section 409A, if none has been selected by the Company), then with regard to any payment or the provision of any benefit that is “nonqualified deferred compensation” within the meaning of Section 409A and that is paid as a result of the Grantee’s Separation from Service, such payment or benefit shall not be made or provided prior to the date that is the earlier of (i) the expiration of the six (6)-month period measured from the date of such Separation from Service of the Grantee, and (ii) the date of the Grantee’s death (the “</w:t>
      </w:r>
      <w:r>
        <w:rPr>
          <w:rFonts w:ascii="Times New Roman" w:hAnsi="Times New Roman"/>
          <w:b/>
          <w:i/>
          <w:color w:val="000000"/>
          <w:sz w:val="24"/>
        </w:rPr>
        <w:t>Delay Period</w:t>
      </w:r>
      <w:r>
        <w:rPr>
          <w:rFonts w:ascii="Times New Roman" w:hAnsi="Times New Roman"/>
          <w:color w:val="000000"/>
          <w:sz w:val="20"/>
        </w:rPr>
        <w:t>”</w:t>
      </w:r>
      <w:r>
        <w:rPr>
          <w:rFonts w:ascii="Times New Roman" w:hAnsi="Times New Roman"/>
          <w:color w:val="000000"/>
          <w:sz w:val="24"/>
        </w:rPr>
        <w:t>). Upon the expiration of the Delay Period, all payments and benefits delayed pursuant to this provision (whether they would have otherwise been payable in a single sum or in installments in the absence of such delay) shall be paid or reimbursed to the Grantee in a lump sum, and any remaining payments and benefits due under this Agreement shall be paid or provided in accordance with the normal payment dates specified for them herein. For purposes of Section 409A, a distribution of shares of Company Stock following conversion of a PSU shall constitute a “payment” thereof.</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8.</w:t>
      </w:r>
    </w:p>
    <w:p>
      <w:pPr>
        <w:pStyle w:val="TextBody"/>
        <w:bidi w:val="0"/>
        <w:jc w:val="both"/>
        <w:rPr/>
      </w:pPr>
      <w:r>
        <w:rPr>
          <w:rFonts w:ascii="Times New Roman" w:hAnsi="Times New Roman"/>
          <w:color w:val="000000"/>
          <w:sz w:val="24"/>
          <w:u w:val="single"/>
        </w:rPr>
        <w:t>Recoupment of PSUs/Shares of Stock</w:t>
      </w:r>
      <w:r>
        <w:rPr>
          <w:rFonts w:ascii="Times New Roman" w:hAnsi="Times New Roman"/>
          <w:color w:val="000000"/>
          <w:sz w:val="24"/>
        </w:rPr>
        <w:t>. Notwithstanding any provision in the Plan or this Agreement to the contrary, all PSUs and underlying shares of Company Stock awarded pursuant to this Agreement shall be subject to recoupment by the Company pursuant to the Company’s Compensation Recoupment Policy, as it may be amended from time to time (or any successor policy thereto) (the “</w:t>
      </w:r>
      <w:r>
        <w:rPr>
          <w:rFonts w:ascii="Times New Roman" w:hAnsi="Times New Roman"/>
          <w:b/>
          <w:i/>
          <w:color w:val="000000"/>
          <w:sz w:val="24"/>
        </w:rPr>
        <w:t>Recoupment Policy</w:t>
      </w:r>
      <w:r>
        <w:rPr>
          <w:color w:val="000000"/>
        </w:rPr>
        <w:t>”</w:t>
      </w:r>
      <w:r>
        <w:rPr>
          <w:rFonts w:ascii="Times New Roman" w:hAnsi="Times New Roman"/>
          <w:color w:val="000000"/>
          <w:sz w:val="24"/>
        </w:rPr>
        <w:t>). The terms of the Recoupment Policy are hereby incorporated by reference into this Agreement.</w:t>
      </w:r>
    </w:p>
    <w:p>
      <w:pPr>
        <w:pStyle w:val="TextBody"/>
        <w:bidi w:val="0"/>
        <w:jc w:val="both"/>
        <w:rPr/>
      </w:pPr>
      <w:r>
        <w:rPr/>
        <w:t>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Section 9.</w:t>
      </w:r>
    </w:p>
    <w:p>
      <w:pPr>
        <w:pStyle w:val="TextBody"/>
        <w:bidi w:val="0"/>
        <w:jc w:val="both"/>
        <w:rPr/>
      </w:pPr>
      <w:r>
        <w:rPr>
          <w:rFonts w:ascii="Times New Roman" w:hAnsi="Times New Roman"/>
          <w:color w:val="000000"/>
          <w:sz w:val="24"/>
          <w:u w:val="single"/>
        </w:rPr>
        <w:t>General Matters</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(a) </w:t>
      </w:r>
      <w:r>
        <w:rPr>
          <w:rFonts w:ascii="Times New Roman" w:hAnsi="Times New Roman"/>
          <w:color w:val="000000"/>
          <w:sz w:val="24"/>
          <w:u w:val="single"/>
        </w:rPr>
        <w:t>Heirs and Successors</w:t>
      </w:r>
      <w:r>
        <w:rPr>
          <w:rFonts w:ascii="Times New Roman" w:hAnsi="Times New Roman"/>
          <w:color w:val="000000"/>
          <w:sz w:val="24"/>
        </w:rPr>
        <w:t>. This Agreement shall be binding upon, and inure to the benefit of, the Company and its successors and assigns, and upon any person acquiring, whether by merger, consolidation, purchase of assets or otherwise, all or substantially all of the Company’s assets and business. Subject to the terms of the Plan, any benefits distributable to the Grantee under this Agreement that are not distributed at the time of the Grantee’s death shall be distributed, at the time and in the form determined in accordance with the provisions of this Agreement and the Plan, to the beneficiary designated by the Grantee in writing filed with the Company</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in such form and at such time as the Committee shall require. If a deceased Grantee failed to designate a beneficiary, or if the designated beneficiary of the deceased Grantee dies before the Grantee or before complete distribution of the benefits due under this Agreement, the amounts to be distributed under this Agreement shall be distributed to the legal representative or representatives of the estate of the last to die of the Grantee and any designated beneficiary.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(b) </w:t>
      </w:r>
      <w:r>
        <w:rPr>
          <w:rFonts w:ascii="Times New Roman" w:hAnsi="Times New Roman"/>
          <w:color w:val="000000"/>
          <w:sz w:val="24"/>
          <w:u w:val="single"/>
        </w:rPr>
        <w:t>Amendments by the Committee</w:t>
      </w:r>
      <w:r>
        <w:rPr>
          <w:rFonts w:ascii="Times New Roman" w:hAnsi="Times New Roman"/>
          <w:color w:val="000000"/>
          <w:sz w:val="24"/>
        </w:rPr>
        <w:t xml:space="preserve">. The Committee may, at any time prior to 75 days after the final Vesting Date, amend this Agreement, </w:t>
      </w:r>
      <w:r>
        <w:rPr>
          <w:rFonts w:ascii="Times New Roman" w:hAnsi="Times New Roman"/>
          <w:color w:val="000000"/>
          <w:sz w:val="24"/>
          <w:u w:val="single"/>
        </w:rPr>
        <w:t>provided</w:t>
      </w:r>
      <w:r>
        <w:rPr>
          <w:rFonts w:ascii="Times New Roman" w:hAnsi="Times New Roman"/>
          <w:color w:val="000000"/>
          <w:sz w:val="20"/>
        </w:rPr>
        <w:t xml:space="preserve"> </w:t>
      </w:r>
      <w:r>
        <w:rPr>
          <w:rFonts w:ascii="Times New Roman" w:hAnsi="Times New Roman"/>
          <w:color w:val="000000"/>
          <w:sz w:val="24"/>
        </w:rPr>
        <w:t>that no amendment may, in the absence of written consent by the Grantee, adversely affect the rights of the Grantee under this Agreement prior to the date of such amendment.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(c) </w:t>
      </w:r>
      <w:r>
        <w:rPr>
          <w:rFonts w:ascii="Times New Roman" w:hAnsi="Times New Roman"/>
          <w:color w:val="000000"/>
          <w:sz w:val="24"/>
          <w:u w:val="single"/>
        </w:rPr>
        <w:t>Administration</w:t>
      </w:r>
      <w:r>
        <w:rPr>
          <w:rFonts w:ascii="Times New Roman" w:hAnsi="Times New Roman"/>
          <w:color w:val="000000"/>
          <w:sz w:val="24"/>
        </w:rPr>
        <w:t>. The authority to manage and control the operation and administration of this Agreement has been vested in the Committee, and the Committee shall have all powers with respect to this Agreement that it has with respect to the Plan. Any interpretation of the Agreement by the Committee, and any decision made by it with respect to the Agreement, are final and binding.</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(d) </w:t>
      </w:r>
      <w:r>
        <w:rPr>
          <w:rFonts w:ascii="Times New Roman" w:hAnsi="Times New Roman"/>
          <w:color w:val="000000"/>
          <w:sz w:val="24"/>
          <w:u w:val="single"/>
        </w:rPr>
        <w:t>Governing Law</w:t>
      </w:r>
      <w:r>
        <w:rPr>
          <w:rFonts w:ascii="Times New Roman" w:hAnsi="Times New Roman"/>
          <w:color w:val="000000"/>
          <w:sz w:val="24"/>
        </w:rPr>
        <w:t>. This Agreement shall be governed by, and construed and enforced in accordance with, the laws of the State of North Carolina without reference to principles of conflict of laws.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(e) </w:t>
      </w:r>
      <w:r>
        <w:rPr>
          <w:rFonts w:ascii="Times New Roman" w:hAnsi="Times New Roman"/>
          <w:color w:val="000000"/>
          <w:sz w:val="24"/>
          <w:u w:val="single"/>
        </w:rPr>
        <w:t>Resolution of Disputes</w:t>
      </w:r>
      <w:r>
        <w:rPr>
          <w:rFonts w:ascii="Times New Roman" w:hAnsi="Times New Roman"/>
          <w:color w:val="000000"/>
          <w:sz w:val="24"/>
        </w:rPr>
        <w:t xml:space="preserve">. Any disputes arising under or in connection with this Agreement shall be resolved by binding arbitration before a single arbitrator, to be held in North Carolina in accordance with the commercial rules and procedures of the American Arbitration Association. Judgment upon the award by the arbitrator shall be final and subject to appeal only to the extent permitted by law. Each party shall bear such party’s own expenses incurred in connection with any arbitration; </w:t>
      </w:r>
      <w:r>
        <w:rPr>
          <w:rFonts w:ascii="Times New Roman" w:hAnsi="Times New Roman"/>
          <w:color w:val="000000"/>
          <w:sz w:val="24"/>
          <w:u w:val="single"/>
        </w:rPr>
        <w:t>provided</w:t>
      </w:r>
      <w:r>
        <w:rPr>
          <w:rFonts w:ascii="Times New Roman" w:hAnsi="Times New Roman"/>
          <w:color w:val="000000"/>
          <w:sz w:val="24"/>
        </w:rPr>
        <w:t xml:space="preserve">, </w:t>
      </w:r>
      <w:r>
        <w:rPr>
          <w:rFonts w:ascii="Times New Roman" w:hAnsi="Times New Roman"/>
          <w:color w:val="000000"/>
          <w:sz w:val="24"/>
          <w:u w:val="single"/>
        </w:rPr>
        <w:t>however</w:t>
      </w:r>
      <w:r>
        <w:rPr>
          <w:rFonts w:ascii="Times New Roman" w:hAnsi="Times New Roman"/>
          <w:color w:val="000000"/>
          <w:sz w:val="24"/>
        </w:rPr>
        <w:t>, that the cost of the arbitration to the Grantee, including, without limitation, reasonable attorneys’ fees of the Grantee, shall be borne by the Company if the Grantee is the prevailing party in the arbitration. Anything to the contrary notwithstanding, each party hereto has the right to proceed with a court action for injunctive relief or relief from violations of law not within the jurisdiction of an arbitrator. If any costs of the arbitration borne by the Company in accordance herewith would constitute compensation to the Grantee for Federal tax purposes, then (i) the amount of any such costs reimbursed to the Grantee in one taxable year shall not affect the amount of such costs reimbursable to the Grantee in any other taxable year, (ii) the Grantee’s right to reimbursement of any such costs shall not be subject to liquidation or exchange for any other benefit, and (iii) the reimbursement of any such costs incurred by the Grantee shall be made as soon as administratively practicable, but in any event within ten (10) days, after the date the Grantee is determined to be the prevailing party in the arbitration. The Grantee shall be responsible for submitting claims for reimbursement in a timely manner to enable payment within the timeframe provided herein.</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(f) </w:t>
      </w:r>
      <w:r>
        <w:rPr>
          <w:rFonts w:ascii="Times New Roman" w:hAnsi="Times New Roman"/>
          <w:color w:val="000000"/>
          <w:sz w:val="24"/>
          <w:u w:val="single"/>
        </w:rPr>
        <w:t>Notices</w:t>
      </w:r>
      <w:r>
        <w:rPr>
          <w:rFonts w:ascii="Times New Roman" w:hAnsi="Times New Roman"/>
          <w:color w:val="000000"/>
          <w:sz w:val="24"/>
        </w:rPr>
        <w:t xml:space="preserve">. Any notice or other communication required or permitted under this Agreement, to be effective, shall be in writing and, unless otherwise expressly provided herein, shall be deemed to have been duly given (i) on the date delivered in person, (ii) on the date indicated on the return receipt if mailed postage prepaid, by certified or registered U.S. Mail, with return receipt requested, (iii) on the date transmitted by facsimile or e-mail, if sent by 5:00 P.M., Eastern Time, and confirmation of receipt thereof is reflected or obtained, or (iv) </w:t>
      </w:r>
      <w:r>
        <w:rPr>
          <w:rFonts w:ascii="Times New Roman" w:hAnsi="Times New Roman"/>
          <w:color w:val="000000"/>
          <w:sz w:val="24"/>
          <w:u w:val="single"/>
        </w:rPr>
        <w:t>if</w:t>
      </w:r>
      <w:r>
        <w:rPr>
          <w:rFonts w:ascii="Times New Roman" w:hAnsi="Times New Roman"/>
          <w:color w:val="000000"/>
          <w:sz w:val="20"/>
        </w:rPr>
        <w:t xml:space="preserve"> </w:t>
      </w:r>
      <w:r>
        <w:rPr>
          <w:rFonts w:ascii="Times New Roman" w:hAnsi="Times New Roman"/>
          <w:color w:val="000000"/>
          <w:sz w:val="24"/>
        </w:rPr>
        <w:t xml:space="preserve">sent by Federal Express, UPS or other nationally recognized overnight courier service or overnight express U.S. Mail, with service charges or postage prepaid, </w:t>
      </w:r>
      <w:r>
        <w:rPr>
          <w:rFonts w:ascii="Times New Roman" w:hAnsi="Times New Roman"/>
          <w:color w:val="000000"/>
          <w:sz w:val="24"/>
          <w:u w:val="single"/>
        </w:rPr>
        <w:t>then</w:t>
      </w:r>
      <w:r>
        <w:rPr>
          <w:rFonts w:ascii="Times New Roman" w:hAnsi="Times New Roman"/>
          <w:color w:val="000000"/>
          <w:sz w:val="20"/>
        </w:rPr>
        <w:t xml:space="preserve"> </w:t>
      </w:r>
      <w:r>
        <w:rPr>
          <w:rFonts w:ascii="Times New Roman" w:hAnsi="Times New Roman"/>
          <w:color w:val="000000"/>
          <w:sz w:val="24"/>
        </w:rPr>
        <w:t>on the next business day after delivery to the courier service or U.S. Mail (in time for and specifying next day delivery). In each case (except for personal delivery), any such notice or other communication shall be sent, as appropriate, (v) to the Grantee at the last address or facsimile number specified in the Grantee’s records with the Company, or such other address or facsimile number as the Grantee may designate in writing to the Company, or (vi) to the Company, Attention: General Counsel, at its corporate headquarters address or main facsimile number at such address or such other address as the Company may designate in writing to the Grantee.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(g) </w:t>
      </w:r>
      <w:r>
        <w:rPr>
          <w:rFonts w:ascii="Times New Roman" w:hAnsi="Times New Roman"/>
          <w:color w:val="000000"/>
          <w:sz w:val="24"/>
          <w:u w:val="single"/>
        </w:rPr>
        <w:t>Failure to Enforce Not a Waiver</w:t>
      </w:r>
      <w:r>
        <w:rPr>
          <w:rFonts w:ascii="Times New Roman" w:hAnsi="Times New Roman"/>
          <w:color w:val="000000"/>
          <w:sz w:val="24"/>
        </w:rPr>
        <w:t>. The failure of either party hereto to enforce at any time any provision of this Agreement shall in no way be construed to be a waiver of such provision or of any other provision hereof.</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(h) </w:t>
      </w:r>
      <w:r>
        <w:rPr>
          <w:rFonts w:ascii="Times New Roman" w:hAnsi="Times New Roman"/>
          <w:color w:val="000000"/>
          <w:sz w:val="24"/>
          <w:u w:val="single"/>
        </w:rPr>
        <w:t>Counterparts</w:t>
      </w:r>
      <w:r>
        <w:rPr>
          <w:rFonts w:ascii="Times New Roman" w:hAnsi="Times New Roman"/>
          <w:color w:val="000000"/>
          <w:sz w:val="24"/>
        </w:rPr>
        <w:t>. This Agreement may be executed in multiple counterparts, each of which shall be an original but all of which together shall represent one and the same agreement.</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 xml:space="preserve">(i) </w:t>
      </w:r>
      <w:r>
        <w:rPr>
          <w:rFonts w:ascii="Times New Roman" w:hAnsi="Times New Roman"/>
          <w:color w:val="000000"/>
          <w:sz w:val="24"/>
          <w:u w:val="single"/>
        </w:rPr>
        <w:t>Modifications; Entire Agreement; Headings</w:t>
      </w:r>
      <w:r>
        <w:rPr>
          <w:rFonts w:ascii="Times New Roman" w:hAnsi="Times New Roman"/>
          <w:color w:val="000000"/>
          <w:sz w:val="24"/>
        </w:rPr>
        <w:t>. This Agreement cannot be changed or terminated orally. This Agreement and the Plan contain the entire agreement between the parties relating to the subject matter hereof. The section headings herein are intended for reference only and shall not affect the interpretation hereof.</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[Signatures Follow on Next Page]</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rPr>
        <w:t>IN WITNESS WHEREOF</w:t>
      </w:r>
      <w:r>
        <w:rPr>
          <w:rFonts w:ascii="Times New Roman" w:hAnsi="Times New Roman"/>
          <w:color w:val="000000"/>
          <w:sz w:val="24"/>
        </w:rPr>
        <w:t xml:space="preserve">, the parties have executed this Agreement, including the Notice of Grant attached hereto as </w:t>
      </w:r>
      <w:r>
        <w:rPr>
          <w:rFonts w:ascii="Times New Roman" w:hAnsi="Times New Roman"/>
          <w:color w:val="000000"/>
          <w:sz w:val="24"/>
          <w:u w:val="single"/>
        </w:rPr>
        <w:t>Annex A</w:t>
      </w:r>
      <w:r>
        <w:rPr>
          <w:rFonts w:ascii="Times New Roman" w:hAnsi="Times New Roman"/>
          <w:color w:val="000000"/>
          <w:sz w:val="24"/>
        </w:rPr>
        <w:t xml:space="preserve">, effective as of the Grant Date set forth on </w:t>
      </w:r>
      <w:r>
        <w:rPr>
          <w:rFonts w:ascii="Times New Roman" w:hAnsi="Times New Roman"/>
          <w:color w:val="000000"/>
          <w:sz w:val="24"/>
          <w:u w:val="single"/>
        </w:rPr>
        <w:t>Annex A</w:t>
      </w:r>
      <w:r>
        <w:rPr>
          <w:rFonts w:ascii="Times New Roman" w:hAnsi="Times New Roman"/>
          <w:color w:val="000000"/>
          <w:sz w:val="24"/>
        </w:rPr>
        <w:t>.</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2"/>
        </w:rPr>
      </w:pPr>
      <w:r>
        <w:rPr>
          <w:rFonts w:ascii="Times New Roman" w:hAnsi="Times New Roman"/>
          <w:b/>
          <w:color w:val="000000"/>
          <w:sz w:val="22"/>
        </w:rPr>
        <w:t>UNIFI, INC.</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w:t>
      </w:r>
    </w:p>
    <w:p>
      <w:pPr>
        <w:pStyle w:val="TextBody"/>
        <w:bidi w:val="0"/>
        <w:jc w:val="left"/>
        <w:rPr>
          <w:rFonts w:ascii="Times New Roman" w:hAnsi="Times New Roman"/>
          <w:color w:val="000000"/>
          <w:sz w:val="22"/>
        </w:rPr>
      </w:pPr>
      <w:r>
        <w:rPr>
          <w:rFonts w:ascii="Times New Roman" w:hAnsi="Times New Roman"/>
          <w:color w:val="000000"/>
          <w:sz w:val="22"/>
        </w:rPr>
        <w:t>Name: [_________________]</w:t>
      </w:r>
    </w:p>
    <w:p>
      <w:pPr>
        <w:pStyle w:val="TextBody"/>
        <w:bidi w:val="0"/>
        <w:spacing w:before="0" w:after="480"/>
        <w:jc w:val="left"/>
        <w:rPr>
          <w:rFonts w:ascii="Times New Roman" w:hAnsi="Times New Roman"/>
          <w:color w:val="000000"/>
          <w:sz w:val="22"/>
        </w:rPr>
      </w:pPr>
      <w:r>
        <w:rPr>
          <w:rFonts w:ascii="Times New Roman" w:hAnsi="Times New Roman"/>
          <w:color w:val="000000"/>
          <w:sz w:val="22"/>
        </w:rPr>
        <w:t>Title: [_________________]</w:t>
      </w:r>
    </w:p>
    <w:p>
      <w:pPr>
        <w:pStyle w:val="TextBody"/>
        <w:bidi w:val="0"/>
        <w:spacing w:before="0" w:after="720"/>
        <w:jc w:val="both"/>
        <w:rPr>
          <w:rFonts w:ascii="Times New Roman" w:hAnsi="Times New Roman"/>
          <w:b/>
          <w:color w:val="000000"/>
          <w:sz w:val="22"/>
        </w:rPr>
      </w:pPr>
      <w:r>
        <w:rPr>
          <w:rFonts w:ascii="Times New Roman" w:hAnsi="Times New Roman"/>
          <w:b/>
          <w:color w:val="000000"/>
          <w:sz w:val="22"/>
        </w:rPr>
        <w:t>GRANTEE</w:t>
      </w:r>
    </w:p>
    <w:p>
      <w:pPr>
        <w:pStyle w:val="TextBody"/>
        <w:bidi w:val="0"/>
        <w:jc w:val="both"/>
        <w:rPr>
          <w:rFonts w:ascii="Times New Roman" w:hAnsi="Times New Roman"/>
          <w:color w:val="000000"/>
          <w:sz w:val="22"/>
          <w:u w:val="single"/>
        </w:rPr>
      </w:pPr>
      <w:r>
        <w:rPr>
          <w:rFonts w:ascii="Times New Roman" w:hAnsi="Times New Roman"/>
          <w:color w:val="000000"/>
          <w:sz w:val="22"/>
          <w:u w:val="single"/>
        </w:rPr>
        <w:t>_________________________</w:t>
      </w:r>
    </w:p>
    <w:p>
      <w:pPr>
        <w:pStyle w:val="TextBody"/>
        <w:bidi w:val="0"/>
        <w:spacing w:before="0" w:after="240"/>
        <w:jc w:val="left"/>
        <w:rPr>
          <w:rFonts w:ascii="Times New Roman" w:hAnsi="Times New Roman"/>
          <w:sz w:val="20"/>
        </w:rPr>
      </w:pPr>
      <w:r>
        <w:rPr>
          <w:rFonts w:ascii="Times New Roman" w:hAnsi="Times New Roman"/>
          <w:color w:val="000000"/>
          <w:sz w:val="22"/>
        </w:rPr>
        <w:t>(Signature)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Annex A</w:t>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NOTICE OF GRANT OF</w:t>
      </w:r>
    </w:p>
    <w:p>
      <w:pPr>
        <w:pStyle w:val="TextBody"/>
        <w:bidi w:val="0"/>
        <w:jc w:val="center"/>
        <w:rPr>
          <w:rFonts w:ascii="Times New Roman" w:hAnsi="Times New Roman"/>
          <w:b/>
          <w:color w:val="000000"/>
          <w:sz w:val="24"/>
        </w:rPr>
      </w:pPr>
      <w:r>
        <w:rPr>
          <w:rFonts w:ascii="Times New Roman" w:hAnsi="Times New Roman"/>
          <w:b/>
          <w:color w:val="000000"/>
          <w:sz w:val="24"/>
        </w:rPr>
        <w:t>PERFORMANCE SHARE UNITS</w:t>
      </w:r>
    </w:p>
    <w:p>
      <w:pPr>
        <w:pStyle w:val="TextBody"/>
        <w:bidi w:val="0"/>
        <w:jc w:val="both"/>
        <w:rPr>
          <w:rFonts w:ascii="Times New Roman" w:hAnsi="Times New Roman"/>
          <w:color w:val="000000"/>
          <w:sz w:val="24"/>
        </w:rPr>
      </w:pPr>
      <w:r>
        <w:rPr>
          <w:rFonts w:ascii="Times New Roman" w:hAnsi="Times New Roman"/>
          <w:color w:val="000000"/>
          <w:sz w:val="24"/>
        </w:rPr>
        <w:t>The following employee has been granted Performance Share Units pursuant to the Unifi, Inc. Second Amended and Restated 2013 Incentive Compensation Plan, as amended, in accordance with terms as set forth in this Notice of Grant and the Cash Settled Performance Share Unit Agreement to which this Notice of Grant is attached.</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terms below shall have the following meanings when used in the Performance Share Unit Agreement.</w:t>
      </w:r>
    </w:p>
    <w:p>
      <w:pPr>
        <w:pStyle w:val="TextBody"/>
        <w:bidi w:val="0"/>
        <w:jc w:val="left"/>
        <w:rPr/>
      </w:pPr>
      <w:r>
        <w:rPr/>
        <w:t> </w:t>
      </w:r>
    </w:p>
    <w:tbl>
      <w:tblPr>
        <w:tblW w:w="3707" w:type="dxa"/>
        <w:jc w:val="left"/>
        <w:tblInd w:w="0" w:type="dxa"/>
        <w:tblLayout w:type="fixed"/>
        <w:tblCellMar>
          <w:top w:w="28" w:type="dxa"/>
          <w:left w:w="28" w:type="dxa"/>
          <w:bottom w:w="28" w:type="dxa"/>
          <w:right w:w="28" w:type="dxa"/>
        </w:tblCellMar>
      </w:tblPr>
      <w:tblGrid>
        <w:gridCol w:w="1966"/>
        <w:gridCol w:w="1741"/>
      </w:tblGrid>
      <w:tr>
        <w:trPr/>
        <w:tc>
          <w:tcPr>
            <w:tcW w:w="1966"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r>
      <w:tr>
        <w:trPr/>
        <w:tc>
          <w:tcPr>
            <w:tcW w:w="1966" w:type="dxa"/>
            <w:tcBorders>
              <w:top w:val="single" w:sz="7" w:space="0" w:color="000000"/>
              <w:left w:val="single" w:sz="7" w:space="0" w:color="000000"/>
              <w:bottom w:val="single" w:sz="6" w:space="0" w:color="FFFFFF"/>
              <w:right w:val="single" w:sz="6" w:space="0" w:color="FFFFFF"/>
            </w:tcBorders>
            <w:tcMar>
              <w:left w:w="134" w:type="dxa"/>
              <w:right w:w="134"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Grantee</w:t>
            </w:r>
          </w:p>
          <w:p>
            <w:pPr>
              <w:pStyle w:val="TableContents"/>
              <w:bidi w:val="0"/>
              <w:spacing w:before="0" w:after="283"/>
              <w:jc w:val="left"/>
              <w:rPr/>
            </w:pPr>
            <w:r>
              <w:rPr/>
              <w:t> </w:t>
            </w:r>
          </w:p>
        </w:tc>
        <w:tc>
          <w:tcPr>
            <w:tcW w:w="1741" w:type="dxa"/>
            <w:tcBorders>
              <w:top w:val="single" w:sz="7" w:space="0" w:color="000000"/>
              <w:bottom w:val="single" w:sz="6" w:space="0" w:color="FFFFFF"/>
              <w:right w:val="single" w:sz="7" w:space="0" w:color="000000"/>
            </w:tcBorders>
            <w:tcMar>
              <w:left w:w="0" w:type="dxa"/>
              <w:right w:w="134"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[EMPLOYEE]</w:t>
            </w:r>
          </w:p>
        </w:tc>
      </w:tr>
      <w:tr>
        <w:trPr/>
        <w:tc>
          <w:tcPr>
            <w:tcW w:w="1966" w:type="dxa"/>
            <w:tcBorders>
              <w:left w:val="single" w:sz="7" w:space="0" w:color="000000"/>
              <w:bottom w:val="single" w:sz="8" w:space="0" w:color="000000"/>
              <w:right w:val="single" w:sz="6" w:space="0" w:color="FFFFFF"/>
            </w:tcBorders>
            <w:tcMar>
              <w:top w:w="0" w:type="dxa"/>
              <w:left w:w="134" w:type="dxa"/>
              <w:right w:w="134"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Address of Grantee</w:t>
            </w:r>
          </w:p>
          <w:p>
            <w:pPr>
              <w:pStyle w:val="TableContents"/>
              <w:bidi w:val="0"/>
              <w:spacing w:before="0" w:after="283"/>
              <w:jc w:val="left"/>
              <w:rPr/>
            </w:pPr>
            <w:r>
              <w:rPr/>
              <w:t> </w:t>
            </w:r>
          </w:p>
        </w:tc>
        <w:tc>
          <w:tcPr>
            <w:tcW w:w="1741" w:type="dxa"/>
            <w:tcBorders>
              <w:bottom w:val="single" w:sz="8" w:space="0" w:color="000000"/>
              <w:right w:val="single" w:sz="7" w:space="0" w:color="000000"/>
            </w:tcBorders>
            <w:tcMar>
              <w:top w:w="0" w:type="dxa"/>
              <w:left w:w="0" w:type="dxa"/>
              <w:right w:w="134"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r>
        <w:trPr/>
        <w:tc>
          <w:tcPr>
            <w:tcW w:w="1966" w:type="dxa"/>
            <w:tcBorders>
              <w:left w:val="single" w:sz="8" w:space="0" w:color="000000"/>
              <w:bottom w:val="single" w:sz="4" w:space="0" w:color="000000"/>
              <w:right w:val="single" w:sz="8" w:space="0" w:color="000000"/>
            </w:tcBorders>
            <w:tcMar>
              <w:top w:w="0" w:type="dxa"/>
              <w:left w:w="134" w:type="dxa"/>
              <w:right w:w="134" w:type="dxa"/>
            </w:tcMar>
            <w:vAlign w:val="center"/>
          </w:tcPr>
          <w:p>
            <w:pPr>
              <w:pStyle w:val="TableContents"/>
              <w:bidi w:val="0"/>
              <w:jc w:val="left"/>
              <w:rPr/>
            </w:pPr>
            <w:r>
              <w:rPr/>
              <w:t> </w:t>
            </w:r>
          </w:p>
          <w:p>
            <w:pPr>
              <w:pStyle w:val="TableContents"/>
              <w:bidi w:val="0"/>
              <w:jc w:val="left"/>
              <w:rPr>
                <w:rFonts w:ascii="Times New Roman" w:hAnsi="Times New Roman"/>
                <w:color w:val="000000"/>
                <w:sz w:val="24"/>
              </w:rPr>
            </w:pPr>
            <w:r>
              <w:rPr>
                <w:rFonts w:ascii="Times New Roman" w:hAnsi="Times New Roman"/>
                <w:color w:val="000000"/>
                <w:sz w:val="24"/>
              </w:rPr>
              <w:t>Grant Date</w:t>
            </w:r>
          </w:p>
          <w:p>
            <w:pPr>
              <w:pStyle w:val="TableContents"/>
              <w:bidi w:val="0"/>
              <w:spacing w:before="0" w:after="283"/>
              <w:jc w:val="left"/>
              <w:rPr/>
            </w:pPr>
            <w:r>
              <w:rPr/>
              <w:t> </w:t>
            </w:r>
          </w:p>
        </w:tc>
        <w:tc>
          <w:tcPr>
            <w:tcW w:w="1741" w:type="dxa"/>
            <w:tcBorders>
              <w:bottom w:val="single" w:sz="4" w:space="0" w:color="000000"/>
              <w:right w:val="single" w:sz="8" w:space="0" w:color="000000"/>
            </w:tcBorders>
            <w:tcMar>
              <w:top w:w="0" w:type="dxa"/>
              <w:left w:w="0" w:type="dxa"/>
              <w:right w:w="134"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[____________]</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4"/>
          <w:u w:val="single"/>
        </w:rPr>
        <w:t>Performance Determinations</w:t>
      </w:r>
      <w:r>
        <w:rPr>
          <w:rFonts w:ascii="Times New Roman" w:hAnsi="Times New Roman"/>
          <w:color w:val="000000"/>
          <w:sz w:val="24"/>
        </w:rPr>
        <w:t>. The actual number of PSUs that shall vest on the applicable Vesting Date for each Performance Period shall be determined from the following tables. Results between specified performance levels will be determined using straight-line interpolation.</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Performance Period Ending: [______________]</w:t>
      </w:r>
    </w:p>
    <w:p>
      <w:pPr>
        <w:pStyle w:val="TextBody"/>
        <w:bidi w:val="0"/>
        <w:jc w:val="left"/>
        <w:rPr>
          <w:rFonts w:ascii="Times New Roman" w:hAnsi="Times New Roman"/>
          <w:color w:val="000000"/>
          <w:sz w:val="24"/>
        </w:rPr>
      </w:pPr>
      <w:r>
        <w:rPr>
          <w:rFonts w:ascii="Times New Roman" w:hAnsi="Times New Roman"/>
          <w:color w:val="000000"/>
          <w:sz w:val="24"/>
        </w:rPr>
        <w:t>Vesting Date: [______________]</w:t>
      </w:r>
    </w:p>
    <w:p>
      <w:pPr>
        <w:pStyle w:val="TextBody"/>
        <w:bidi w:val="0"/>
        <w:jc w:val="left"/>
        <w:rPr/>
      </w:pPr>
      <w:r>
        <w:rPr/>
        <w:t> </w:t>
      </w:r>
    </w:p>
    <w:tbl>
      <w:tblPr>
        <w:tblW w:w="8088" w:type="dxa"/>
        <w:jc w:val="left"/>
        <w:tblInd w:w="0" w:type="dxa"/>
        <w:tblLayout w:type="fixed"/>
        <w:tblCellMar>
          <w:top w:w="28" w:type="dxa"/>
          <w:left w:w="28" w:type="dxa"/>
          <w:bottom w:w="28" w:type="dxa"/>
          <w:right w:w="28" w:type="dxa"/>
        </w:tblCellMar>
      </w:tblPr>
      <w:tblGrid>
        <w:gridCol w:w="1921"/>
        <w:gridCol w:w="1936"/>
        <w:gridCol w:w="4231"/>
      </w:tblGrid>
      <w:tr>
        <w:trPr/>
        <w:tc>
          <w:tcPr>
            <w:tcW w:w="192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92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Performance Level</w:t>
            </w:r>
          </w:p>
        </w:tc>
        <w:tc>
          <w:tcPr>
            <w:tcW w:w="19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Description</w:t>
            </w:r>
          </w:p>
        </w:tc>
        <w:tc>
          <w:tcPr>
            <w:tcW w:w="4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Payout</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Threshold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Target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Maximum</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Performance Period Ending: [______________]</w:t>
      </w:r>
    </w:p>
    <w:p>
      <w:pPr>
        <w:pStyle w:val="TextBody"/>
        <w:bidi w:val="0"/>
        <w:jc w:val="left"/>
        <w:rPr>
          <w:rFonts w:ascii="Times New Roman" w:hAnsi="Times New Roman"/>
          <w:color w:val="000000"/>
          <w:sz w:val="24"/>
        </w:rPr>
      </w:pPr>
      <w:r>
        <w:rPr>
          <w:rFonts w:ascii="Times New Roman" w:hAnsi="Times New Roman"/>
          <w:color w:val="000000"/>
          <w:sz w:val="24"/>
        </w:rPr>
        <w:t>Vesting Date: [______________]</w:t>
      </w:r>
    </w:p>
    <w:p>
      <w:pPr>
        <w:pStyle w:val="TextBody"/>
        <w:bidi w:val="0"/>
        <w:jc w:val="left"/>
        <w:rPr/>
      </w:pPr>
      <w:r>
        <w:rPr/>
        <w:t> </w:t>
      </w:r>
    </w:p>
    <w:tbl>
      <w:tblPr>
        <w:tblW w:w="8088" w:type="dxa"/>
        <w:jc w:val="left"/>
        <w:tblInd w:w="0" w:type="dxa"/>
        <w:tblLayout w:type="fixed"/>
        <w:tblCellMar>
          <w:top w:w="28" w:type="dxa"/>
          <w:left w:w="28" w:type="dxa"/>
          <w:bottom w:w="28" w:type="dxa"/>
          <w:right w:w="28" w:type="dxa"/>
        </w:tblCellMar>
      </w:tblPr>
      <w:tblGrid>
        <w:gridCol w:w="1921"/>
        <w:gridCol w:w="1936"/>
        <w:gridCol w:w="4231"/>
      </w:tblGrid>
      <w:tr>
        <w:trPr/>
        <w:tc>
          <w:tcPr>
            <w:tcW w:w="192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92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Performance Level</w:t>
            </w:r>
          </w:p>
        </w:tc>
        <w:tc>
          <w:tcPr>
            <w:tcW w:w="19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Description</w:t>
            </w:r>
          </w:p>
        </w:tc>
        <w:tc>
          <w:tcPr>
            <w:tcW w:w="4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Payout</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Threshold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Target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Maximum</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bl>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Performance Period Ending: [______________]</w:t>
      </w:r>
    </w:p>
    <w:p>
      <w:pPr>
        <w:pStyle w:val="TextBody"/>
        <w:bidi w:val="0"/>
        <w:jc w:val="left"/>
        <w:rPr>
          <w:rFonts w:ascii="Times New Roman" w:hAnsi="Times New Roman"/>
          <w:color w:val="000000"/>
          <w:sz w:val="24"/>
        </w:rPr>
      </w:pPr>
      <w:r>
        <w:rPr>
          <w:rFonts w:ascii="Times New Roman" w:hAnsi="Times New Roman"/>
          <w:color w:val="000000"/>
          <w:sz w:val="24"/>
        </w:rPr>
        <w:t>Vesting Date: [______________]</w:t>
      </w:r>
    </w:p>
    <w:p>
      <w:pPr>
        <w:pStyle w:val="TextBody"/>
        <w:bidi w:val="0"/>
        <w:jc w:val="left"/>
        <w:rPr/>
      </w:pPr>
      <w:r>
        <w:rPr/>
        <w:t> </w:t>
      </w:r>
    </w:p>
    <w:tbl>
      <w:tblPr>
        <w:tblW w:w="8088" w:type="dxa"/>
        <w:jc w:val="left"/>
        <w:tblInd w:w="0" w:type="dxa"/>
        <w:tblLayout w:type="fixed"/>
        <w:tblCellMar>
          <w:top w:w="28" w:type="dxa"/>
          <w:left w:w="28" w:type="dxa"/>
          <w:bottom w:w="28" w:type="dxa"/>
          <w:right w:w="28" w:type="dxa"/>
        </w:tblCellMar>
      </w:tblPr>
      <w:tblGrid>
        <w:gridCol w:w="1921"/>
        <w:gridCol w:w="1936"/>
        <w:gridCol w:w="4231"/>
      </w:tblGrid>
      <w:tr>
        <w:trPr/>
        <w:tc>
          <w:tcPr>
            <w:tcW w:w="1921" w:type="dxa"/>
            <w:tcBorders/>
            <w:vAlign w:val="center"/>
          </w:tcPr>
          <w:p>
            <w:pPr>
              <w:pStyle w:val="TableContents"/>
              <w:bidi w:val="0"/>
              <w:spacing w:before="0" w:after="283"/>
              <w:jc w:val="left"/>
              <w:rPr>
                <w:sz w:val="4"/>
                <w:szCs w:val="4"/>
              </w:rPr>
            </w:pPr>
            <w:r>
              <w:rPr>
                <w:sz w:val="4"/>
                <w:szCs w:val="4"/>
              </w:rPr>
            </w:r>
          </w:p>
        </w:tc>
        <w:tc>
          <w:tcPr>
            <w:tcW w:w="1936" w:type="dxa"/>
            <w:tcBorders/>
            <w:vAlign w:val="center"/>
          </w:tcPr>
          <w:p>
            <w:pPr>
              <w:pStyle w:val="TableContents"/>
              <w:bidi w:val="0"/>
              <w:spacing w:before="0" w:after="283"/>
              <w:jc w:val="left"/>
              <w:rPr>
                <w:sz w:val="4"/>
                <w:szCs w:val="4"/>
              </w:rPr>
            </w:pPr>
            <w:r>
              <w:rPr>
                <w:sz w:val="4"/>
                <w:szCs w:val="4"/>
              </w:rPr>
            </w:r>
          </w:p>
        </w:tc>
        <w:tc>
          <w:tcPr>
            <w:tcW w:w="4231" w:type="dxa"/>
            <w:tcBorders/>
            <w:vAlign w:val="center"/>
          </w:tcPr>
          <w:p>
            <w:pPr>
              <w:pStyle w:val="TableContents"/>
              <w:bidi w:val="0"/>
              <w:spacing w:before="0" w:after="283"/>
              <w:jc w:val="left"/>
              <w:rPr>
                <w:sz w:val="4"/>
                <w:szCs w:val="4"/>
              </w:rPr>
            </w:pPr>
            <w:r>
              <w:rPr>
                <w:sz w:val="4"/>
                <w:szCs w:val="4"/>
              </w:rPr>
            </w:r>
          </w:p>
        </w:tc>
      </w:tr>
      <w:tr>
        <w:trPr/>
        <w:tc>
          <w:tcPr>
            <w:tcW w:w="192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Performance Level</w:t>
            </w:r>
          </w:p>
        </w:tc>
        <w:tc>
          <w:tcPr>
            <w:tcW w:w="1936"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Description</w:t>
            </w:r>
          </w:p>
        </w:tc>
        <w:tc>
          <w:tcPr>
            <w:tcW w:w="4231" w:type="dxa"/>
            <w:tcBorders>
              <w:top w:val="single" w:sz="4" w:space="0" w:color="000000"/>
              <w:bottom w:val="single" w:sz="4" w:space="0" w:color="000000"/>
              <w:right w:val="single" w:sz="4" w:space="0" w:color="000000"/>
            </w:tcBorders>
            <w:tcMar>
              <w:left w:w="0" w:type="dxa"/>
              <w:right w:w="108" w:type="dxa"/>
            </w:tcMar>
            <w:vAlign w:val="center"/>
          </w:tcPr>
          <w:p>
            <w:pPr>
              <w:pStyle w:val="TableContents"/>
              <w:bidi w:val="0"/>
              <w:spacing w:before="0" w:after="283"/>
              <w:jc w:val="center"/>
              <w:rPr>
                <w:rFonts w:ascii="Times New Roman" w:hAnsi="Times New Roman"/>
                <w:color w:val="000000"/>
                <w:sz w:val="24"/>
              </w:rPr>
            </w:pPr>
            <w:r>
              <w:rPr>
                <w:rFonts w:ascii="Times New Roman" w:hAnsi="Times New Roman"/>
                <w:color w:val="000000"/>
                <w:sz w:val="24"/>
              </w:rPr>
              <w:t>Payout</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Threshold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 xml:space="preserve">Target </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r>
        <w:trPr/>
        <w:tc>
          <w:tcPr>
            <w:tcW w:w="1921" w:type="dxa"/>
            <w:tcBorders>
              <w:left w:val="single" w:sz="4" w:space="0" w:color="000000"/>
              <w:bottom w:val="single" w:sz="4" w:space="0" w:color="000000"/>
              <w:right w:val="single" w:sz="4" w:space="0" w:color="000000"/>
            </w:tcBorders>
            <w:tcMar>
              <w:top w:w="0" w:type="dxa"/>
              <w:left w:w="108"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Maximum</w:t>
            </w:r>
          </w:p>
        </w:tc>
        <w:tc>
          <w:tcPr>
            <w:tcW w:w="1936"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[______________]</w:t>
            </w:r>
          </w:p>
        </w:tc>
        <w:tc>
          <w:tcPr>
            <w:tcW w:w="4231" w:type="dxa"/>
            <w:tcBorders>
              <w:bottom w:val="single" w:sz="4" w:space="0" w:color="000000"/>
              <w:right w:val="single" w:sz="4" w:space="0" w:color="000000"/>
            </w:tcBorders>
            <w:tcMar>
              <w:top w:w="0" w:type="dxa"/>
              <w:left w:w="0" w:type="dxa"/>
              <w:right w:w="108" w:type="dxa"/>
            </w:tcMar>
            <w:vAlign w:val="center"/>
          </w:tcPr>
          <w:p>
            <w:pPr>
              <w:pStyle w:val="TableContents"/>
              <w:bidi w:val="0"/>
              <w:spacing w:before="0" w:after="283"/>
              <w:jc w:val="left"/>
              <w:rPr>
                <w:rFonts w:ascii="Times New Roman" w:hAnsi="Times New Roman"/>
                <w:color w:val="000000"/>
                <w:sz w:val="24"/>
              </w:rPr>
            </w:pPr>
            <w:r>
              <w:rPr>
                <w:rFonts w:ascii="Times New Roman" w:hAnsi="Times New Roman"/>
                <w:color w:val="000000"/>
                <w:sz w:val="24"/>
              </w:rPr>
              <w:t>[__]% of Target PSUs available for vesting</w:t>
            </w:r>
          </w:p>
        </w:tc>
      </w:tr>
    </w:tbl>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2" w:name="ufi-ex31_1.htm"/>
      <w:bookmarkStart w:id="23" w:name="ksufiex31_1"/>
      <w:bookmarkEnd w:id="22"/>
      <w:bookmarkEnd w:id="23"/>
      <w:r>
        <w:rPr>
          <w:rFonts w:ascii="Arial" w:hAnsi="Arial"/>
          <w:b/>
          <w:color w:val="000000"/>
          <w:sz w:val="20"/>
        </w:rPr>
        <w:t>Exhibit 31.1</w:t>
      </w:r>
      <w:r>
        <w:br w:type="page"/>
      </w:r>
    </w:p>
    <w:p>
      <w:pPr>
        <w:pStyle w:val="TextBody"/>
        <w:bidi w:val="0"/>
        <w:spacing w:before="240" w:after="283"/>
        <w:jc w:val="center"/>
        <w:rPr>
          <w:rFonts w:ascii="Arial" w:hAnsi="Arial"/>
          <w:b/>
          <w:color w:val="000000"/>
          <w:sz w:val="20"/>
        </w:rPr>
      </w:pPr>
      <w:r>
        <w:rPr>
          <w:rFonts w:ascii="Arial" w:hAnsi="Arial"/>
          <w:b/>
          <w:color w:val="000000"/>
          <w:sz w:val="20"/>
        </w:rPr>
        <w:t>CERTIFICATION</w:t>
      </w:r>
    </w:p>
    <w:p>
      <w:pPr>
        <w:pStyle w:val="TextBody"/>
        <w:bidi w:val="0"/>
        <w:spacing w:before="240" w:after="283"/>
        <w:jc w:val="both"/>
        <w:rPr>
          <w:rFonts w:ascii="Arial" w:hAnsi="Arial"/>
          <w:color w:val="000000"/>
          <w:sz w:val="20"/>
        </w:rPr>
      </w:pPr>
      <w:r>
        <w:rPr>
          <w:rFonts w:ascii="Arial" w:hAnsi="Arial"/>
          <w:color w:val="000000"/>
          <w:sz w:val="20"/>
        </w:rPr>
        <w:t>I, Edmund M. Ingle,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 have reviewed this Quarterly Report on Form 10-Q of Unifi, Inc.;</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110" w:type="dxa"/>
        <w:jc w:val="left"/>
        <w:tblInd w:w="0" w:type="dxa"/>
        <w:tblLayout w:type="fixed"/>
        <w:tblCellMar>
          <w:top w:w="28" w:type="dxa"/>
          <w:left w:w="28" w:type="dxa"/>
          <w:bottom w:w="28" w:type="dxa"/>
          <w:right w:w="28" w:type="dxa"/>
        </w:tblCellMar>
      </w:tblPr>
      <w:tblGrid>
        <w:gridCol w:w="586"/>
        <w:gridCol w:w="1636"/>
        <w:gridCol w:w="146"/>
        <w:gridCol w:w="146"/>
        <w:gridCol w:w="2596"/>
      </w:tblGrid>
      <w:tr>
        <w:trPr/>
        <w:tc>
          <w:tcPr>
            <w:tcW w:w="58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6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February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EDMUND M. INGLE</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Edmund M. Ingle</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4" w:name="ufi-ex31_2.htm"/>
      <w:bookmarkStart w:id="25" w:name="ksufiex31_2"/>
      <w:bookmarkEnd w:id="24"/>
      <w:bookmarkEnd w:id="25"/>
      <w:r>
        <w:rPr>
          <w:rFonts w:ascii="Arial" w:hAnsi="Arial"/>
          <w:b/>
          <w:color w:val="000000"/>
          <w:sz w:val="20"/>
        </w:rPr>
        <w:t>Exhibit 31.2</w:t>
      </w:r>
      <w:r>
        <w:br w:type="page"/>
      </w:r>
    </w:p>
    <w:p>
      <w:pPr>
        <w:pStyle w:val="TextBody"/>
        <w:bidi w:val="0"/>
        <w:spacing w:before="240" w:after="283"/>
        <w:jc w:val="center"/>
        <w:rPr>
          <w:rFonts w:ascii="Arial" w:hAnsi="Arial"/>
          <w:b/>
          <w:color w:val="000000"/>
          <w:sz w:val="20"/>
        </w:rPr>
      </w:pPr>
      <w:r>
        <w:rPr>
          <w:rFonts w:ascii="Arial" w:hAnsi="Arial"/>
          <w:b/>
          <w:color w:val="000000"/>
          <w:sz w:val="20"/>
        </w:rPr>
        <w:t>CERTIFICATION</w:t>
      </w:r>
    </w:p>
    <w:p>
      <w:pPr>
        <w:pStyle w:val="TextBody"/>
        <w:bidi w:val="0"/>
        <w:spacing w:before="240" w:after="283"/>
        <w:jc w:val="both"/>
        <w:rPr>
          <w:rFonts w:ascii="Arial" w:hAnsi="Arial"/>
          <w:color w:val="000000"/>
          <w:sz w:val="20"/>
        </w:rPr>
      </w:pPr>
      <w:r>
        <w:rPr>
          <w:rFonts w:ascii="Arial" w:hAnsi="Arial"/>
          <w:color w:val="000000"/>
          <w:sz w:val="20"/>
        </w:rPr>
        <w:t>I, Andrew J. Eaker,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I have reviewed this Quarterly Report on Form 10-Q of Unifi, Inc.;</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both"/>
        <w:rPr>
          <w:rFonts w:ascii="Arial" w:hAnsi="Arial"/>
          <w:color w:val="000000"/>
          <w:sz w:val="20"/>
        </w:rPr>
      </w:pPr>
      <w:r>
        <w:rPr>
          <w:rFonts w:ascii="Arial" w:hAnsi="Arial"/>
          <w:color w:val="000000"/>
          <w:sz w:val="20"/>
        </w:rPr>
        <w:t>3.</w:t>
      </w:r>
    </w:p>
    <w:p>
      <w:pPr>
        <w:pStyle w:val="TextBody"/>
        <w:bidi w:val="0"/>
        <w:spacing w:before="120" w:after="283"/>
        <w:jc w:val="both"/>
        <w:rPr>
          <w:rFonts w:ascii="Arial" w:hAnsi="Arial"/>
          <w:color w:val="000000"/>
          <w:sz w:val="20"/>
        </w:rPr>
      </w:pPr>
      <w:r>
        <w:rPr>
          <w:rFonts w:ascii="Arial" w:hAnsi="Arial"/>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both"/>
        <w:rPr>
          <w:rFonts w:ascii="Arial" w:hAnsi="Arial"/>
          <w:color w:val="000000"/>
          <w:sz w:val="20"/>
        </w:rPr>
      </w:pPr>
      <w:r>
        <w:rPr>
          <w:rFonts w:ascii="Arial" w:hAnsi="Arial"/>
          <w:color w:val="000000"/>
          <w:sz w:val="20"/>
        </w:rPr>
        <w:t>4.</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Arial" w:hAnsi="Arial"/>
          <w:color w:val="000000"/>
          <w:sz w:val="20"/>
        </w:rPr>
      </w:pPr>
      <w:r>
        <w:rPr>
          <w:rFonts w:ascii="Arial" w:hAnsi="Arial"/>
          <w:color w:val="000000"/>
          <w:sz w:val="20"/>
        </w:rPr>
        <w:t>(c)</w:t>
      </w:r>
    </w:p>
    <w:p>
      <w:pPr>
        <w:pStyle w:val="TextBody"/>
        <w:bidi w:val="0"/>
        <w:spacing w:before="120" w:after="283"/>
        <w:jc w:val="both"/>
        <w:rPr>
          <w:rFonts w:ascii="Arial" w:hAnsi="Arial"/>
          <w:color w:val="000000"/>
          <w:sz w:val="20"/>
        </w:rPr>
      </w:pPr>
      <w:r>
        <w:rPr>
          <w:rFonts w:ascii="Arial" w:hAnsi="Arial"/>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Arial" w:hAnsi="Arial"/>
          <w:color w:val="000000"/>
          <w:sz w:val="20"/>
        </w:rPr>
      </w:pPr>
      <w:r>
        <w:rPr>
          <w:rFonts w:ascii="Arial" w:hAnsi="Arial"/>
          <w:color w:val="000000"/>
          <w:sz w:val="20"/>
        </w:rPr>
        <w:t>(d)</w:t>
      </w:r>
    </w:p>
    <w:p>
      <w:pPr>
        <w:pStyle w:val="TextBody"/>
        <w:bidi w:val="0"/>
        <w:spacing w:before="120" w:after="283"/>
        <w:jc w:val="both"/>
        <w:rPr>
          <w:rFonts w:ascii="Arial" w:hAnsi="Arial"/>
          <w:color w:val="000000"/>
          <w:sz w:val="20"/>
        </w:rPr>
      </w:pPr>
      <w:r>
        <w:rPr>
          <w:rFonts w:ascii="Arial" w:hAnsi="Arial"/>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both"/>
        <w:rPr>
          <w:rFonts w:ascii="Arial" w:hAnsi="Arial"/>
          <w:color w:val="000000"/>
          <w:sz w:val="20"/>
        </w:rPr>
      </w:pPr>
      <w:r>
        <w:rPr>
          <w:rFonts w:ascii="Arial" w:hAnsi="Arial"/>
          <w:color w:val="000000"/>
          <w:sz w:val="20"/>
        </w:rPr>
        <w:t>5.</w:t>
      </w:r>
    </w:p>
    <w:p>
      <w:pPr>
        <w:pStyle w:val="TextBody"/>
        <w:bidi w:val="0"/>
        <w:spacing w:before="120" w:after="283"/>
        <w:jc w:val="both"/>
        <w:rPr>
          <w:rFonts w:ascii="Arial" w:hAnsi="Arial"/>
          <w:color w:val="000000"/>
          <w:sz w:val="20"/>
        </w:rPr>
      </w:pPr>
      <w:r>
        <w:rPr>
          <w:rFonts w:ascii="Arial" w:hAnsi="Arial"/>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Arial" w:hAnsi="Arial"/>
          <w:color w:val="000000"/>
          <w:sz w:val="20"/>
        </w:rPr>
      </w:pPr>
      <w:r>
        <w:rPr>
          <w:rFonts w:ascii="Arial" w:hAnsi="Arial"/>
          <w:color w:val="000000"/>
          <w:sz w:val="20"/>
        </w:rPr>
        <w:t>(a)</w:t>
      </w:r>
    </w:p>
    <w:p>
      <w:pPr>
        <w:pStyle w:val="TextBody"/>
        <w:bidi w:val="0"/>
        <w:spacing w:before="120" w:after="283"/>
        <w:jc w:val="both"/>
        <w:rPr>
          <w:rFonts w:ascii="Arial" w:hAnsi="Arial"/>
          <w:color w:val="000000"/>
          <w:sz w:val="20"/>
        </w:rPr>
      </w:pPr>
      <w:r>
        <w:rPr>
          <w:rFonts w:ascii="Arial" w:hAnsi="Arial"/>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Arial" w:hAnsi="Arial"/>
          <w:color w:val="000000"/>
          <w:sz w:val="20"/>
        </w:rPr>
      </w:pPr>
      <w:r>
        <w:rPr>
          <w:rFonts w:ascii="Arial" w:hAnsi="Arial"/>
          <w:color w:val="000000"/>
          <w:sz w:val="20"/>
        </w:rPr>
        <w:t>(b)</w:t>
      </w:r>
    </w:p>
    <w:p>
      <w:pPr>
        <w:pStyle w:val="TextBody"/>
        <w:bidi w:val="0"/>
        <w:spacing w:before="120" w:after="283"/>
        <w:jc w:val="both"/>
        <w:rPr>
          <w:rFonts w:ascii="Arial" w:hAnsi="Arial"/>
          <w:color w:val="000000"/>
          <w:sz w:val="20"/>
        </w:rPr>
      </w:pPr>
      <w:r>
        <w:rPr>
          <w:rFonts w:ascii="Arial" w:hAnsi="Arial"/>
          <w:color w:val="000000"/>
          <w:sz w:val="20"/>
        </w:rPr>
        <w:t>Any fraud, whether or not material, that involves management or other employees who have a significant role in the registrant’s internal control over financial reporting.</w:t>
      </w:r>
    </w:p>
    <w:p>
      <w:pPr>
        <w:pStyle w:val="TextBody"/>
        <w:bidi w:val="0"/>
        <w:jc w:val="both"/>
        <w:rPr/>
      </w:pPr>
      <w:r>
        <w:rPr/>
        <w:t> </w:t>
      </w:r>
    </w:p>
    <w:tbl>
      <w:tblPr>
        <w:tblW w:w="7739" w:type="dxa"/>
        <w:jc w:val="left"/>
        <w:tblInd w:w="0" w:type="dxa"/>
        <w:tblLayout w:type="fixed"/>
        <w:tblCellMar>
          <w:top w:w="28" w:type="dxa"/>
          <w:left w:w="28" w:type="dxa"/>
          <w:bottom w:w="28" w:type="dxa"/>
          <w:right w:w="28" w:type="dxa"/>
        </w:tblCellMar>
      </w:tblPr>
      <w:tblGrid>
        <w:gridCol w:w="586"/>
        <w:gridCol w:w="1636"/>
        <w:gridCol w:w="146"/>
        <w:gridCol w:w="5371"/>
      </w:tblGrid>
      <w:tr>
        <w:trPr/>
        <w:tc>
          <w:tcPr>
            <w:tcW w:w="586" w:type="dxa"/>
            <w:tcBorders/>
            <w:vAlign w:val="center"/>
          </w:tcPr>
          <w:p>
            <w:pPr>
              <w:pStyle w:val="TableContents"/>
              <w:bidi w:val="0"/>
              <w:spacing w:before="0" w:after="283"/>
              <w:jc w:val="left"/>
              <w:rPr>
                <w:sz w:val="4"/>
                <w:szCs w:val="4"/>
              </w:rPr>
            </w:pPr>
            <w:r>
              <w:rPr>
                <w:sz w:val="4"/>
                <w:szCs w:val="4"/>
              </w:rPr>
            </w:r>
          </w:p>
        </w:tc>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63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Arial" w:hAnsi="Arial"/>
                <w:color w:val="000000"/>
                <w:sz w:val="20"/>
              </w:rPr>
              <w:t>February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ANDREW J. EAKER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J. Eaker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&amp; Chief Financial Officer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Treasurer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6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Arial" w:hAnsi="Arial"/>
          <w:b/>
          <w:color w:val="000000"/>
          <w:sz w:val="20"/>
        </w:rPr>
      </w:pPr>
      <w:bookmarkStart w:id="26" w:name="ufi-ex32.htm"/>
      <w:bookmarkStart w:id="27" w:name="ksufiex32"/>
      <w:bookmarkEnd w:id="26"/>
      <w:bookmarkEnd w:id="27"/>
      <w:r>
        <w:rPr>
          <w:rFonts w:ascii="Arial" w:hAnsi="Arial"/>
          <w:b/>
          <w:color w:val="000000"/>
          <w:sz w:val="20"/>
        </w:rPr>
        <w:t>Exhibit 32</w:t>
      </w:r>
      <w:r>
        <w:br w:type="page"/>
      </w:r>
    </w:p>
    <w:p>
      <w:pPr>
        <w:pStyle w:val="TextBody"/>
        <w:bidi w:val="0"/>
        <w:spacing w:before="240" w:after="283"/>
        <w:jc w:val="center"/>
        <w:rPr>
          <w:rFonts w:ascii="Arial" w:hAnsi="Arial"/>
          <w:b/>
          <w:color w:val="000000"/>
          <w:sz w:val="20"/>
        </w:rPr>
      </w:pPr>
      <w:r>
        <w:rPr>
          <w:rFonts w:ascii="Arial" w:hAnsi="Arial"/>
          <w:b/>
          <w:color w:val="000000"/>
          <w:sz w:val="20"/>
        </w:rPr>
        <w:t>CERTIFICATIONS PURSUANT TO 18 U.S.C. SECTION 1350,</w:t>
      </w:r>
    </w:p>
    <w:p>
      <w:pPr>
        <w:pStyle w:val="TextBody"/>
        <w:bidi w:val="0"/>
        <w:jc w:val="center"/>
        <w:rPr>
          <w:rFonts w:ascii="Arial" w:hAnsi="Arial"/>
          <w:b/>
          <w:color w:val="000000"/>
          <w:sz w:val="20"/>
        </w:rPr>
      </w:pPr>
      <w:r>
        <w:rPr>
          <w:rFonts w:ascii="Arial" w:hAnsi="Arial"/>
          <w:b/>
          <w:color w:val="000000"/>
          <w:sz w:val="20"/>
        </w:rPr>
        <w:t>AS ADOPTED PURSUANT TO</w:t>
      </w:r>
    </w:p>
    <w:p>
      <w:pPr>
        <w:pStyle w:val="TextBody"/>
        <w:bidi w:val="0"/>
        <w:jc w:val="center"/>
        <w:rPr>
          <w:rFonts w:ascii="Arial" w:hAnsi="Arial"/>
          <w:b/>
          <w:color w:val="000000"/>
          <w:sz w:val="20"/>
        </w:rPr>
      </w:pPr>
      <w:r>
        <w:rPr>
          <w:rFonts w:ascii="Arial" w:hAnsi="Arial"/>
          <w:b/>
          <w:color w:val="000000"/>
          <w:sz w:val="20"/>
        </w:rPr>
        <w:t>SECTION 906 OF THE SARBANES-OXLEY ACT OF 2002</w:t>
      </w:r>
    </w:p>
    <w:p>
      <w:pPr>
        <w:pStyle w:val="TextBody"/>
        <w:bidi w:val="0"/>
        <w:spacing w:before="240" w:after="283"/>
        <w:jc w:val="both"/>
        <w:rPr>
          <w:rFonts w:ascii="Arial" w:hAnsi="Arial"/>
          <w:color w:val="000000"/>
          <w:sz w:val="20"/>
        </w:rPr>
      </w:pPr>
      <w:r>
        <w:rPr>
          <w:rFonts w:ascii="Arial" w:hAnsi="Arial"/>
          <w:color w:val="000000"/>
          <w:sz w:val="20"/>
        </w:rPr>
        <w:t>Pursuant to 18 U.S.C. Section 1350, as adopted pursuant to Section 906 of the Sarbanes-Oxley Act of 2002, the undersigned, Chief Executive Officer and Chief Financial Officer of Unifi, Inc. (the “Company”), do hereby certify that:</w:t>
      </w:r>
    </w:p>
    <w:p>
      <w:pPr>
        <w:pStyle w:val="TextBody"/>
        <w:bidi w:val="0"/>
        <w:spacing w:before="120" w:after="283"/>
        <w:jc w:val="both"/>
        <w:rPr>
          <w:rFonts w:ascii="Arial" w:hAnsi="Arial"/>
          <w:color w:val="000000"/>
          <w:sz w:val="20"/>
        </w:rPr>
      </w:pPr>
      <w:r>
        <w:rPr>
          <w:rFonts w:ascii="Arial" w:hAnsi="Arial"/>
          <w:color w:val="000000"/>
          <w:sz w:val="20"/>
        </w:rPr>
        <w:t>(1)</w:t>
      </w:r>
    </w:p>
    <w:p>
      <w:pPr>
        <w:pStyle w:val="TextBody"/>
        <w:bidi w:val="0"/>
        <w:spacing w:before="120" w:after="283"/>
        <w:jc w:val="both"/>
        <w:rPr>
          <w:rFonts w:ascii="Arial" w:hAnsi="Arial"/>
          <w:color w:val="000000"/>
          <w:sz w:val="20"/>
        </w:rPr>
      </w:pPr>
      <w:r>
        <w:rPr>
          <w:rFonts w:ascii="Arial" w:hAnsi="Arial"/>
          <w:color w:val="000000"/>
          <w:sz w:val="20"/>
        </w:rPr>
        <w:t>the Quarterly Report on Form 10-Q of the Company for the fiscal period ended December 28, 2025, as filed with the Securities and Exchange Commission on the date hereof (the “Report”) fully complies with the requirements of Section 13(a) or 15(d) of the Securities Exchange Act of 1934, as amended; and</w:t>
      </w:r>
    </w:p>
    <w:p>
      <w:pPr>
        <w:pStyle w:val="TextBody"/>
        <w:bidi w:val="0"/>
        <w:spacing w:before="120" w:after="283"/>
        <w:jc w:val="both"/>
        <w:rPr>
          <w:rFonts w:ascii="Arial" w:hAnsi="Arial"/>
          <w:color w:val="000000"/>
          <w:sz w:val="20"/>
        </w:rPr>
      </w:pPr>
      <w:r>
        <w:rPr>
          <w:rFonts w:ascii="Arial" w:hAnsi="Arial"/>
          <w:color w:val="000000"/>
          <w:sz w:val="20"/>
        </w:rPr>
        <w:t>(2)</w:t>
      </w:r>
    </w:p>
    <w:p>
      <w:pPr>
        <w:pStyle w:val="TextBody"/>
        <w:bidi w:val="0"/>
        <w:spacing w:before="120" w:after="283"/>
        <w:jc w:val="both"/>
        <w:rPr>
          <w:rFonts w:ascii="Arial" w:hAnsi="Arial"/>
          <w:color w:val="000000"/>
          <w:sz w:val="20"/>
        </w:rPr>
      </w:pPr>
      <w:r>
        <w:rPr>
          <w:rFonts w:ascii="Arial" w:hAnsi="Arial"/>
          <w:color w:val="000000"/>
          <w:sz w:val="20"/>
        </w:rPr>
        <w:t>the information contained in the Report fairly presents, in all material respects, the financial condition and results of operations of the Company.</w:t>
      </w:r>
    </w:p>
    <w:tbl>
      <w:tblPr>
        <w:tblW w:w="5050" w:type="dxa"/>
        <w:jc w:val="left"/>
        <w:tblInd w:w="0" w:type="dxa"/>
        <w:tblLayout w:type="fixed"/>
        <w:tblCellMar>
          <w:top w:w="28" w:type="dxa"/>
          <w:left w:w="28" w:type="dxa"/>
          <w:bottom w:w="28" w:type="dxa"/>
          <w:right w:w="28" w:type="dxa"/>
        </w:tblCellMar>
      </w:tblPr>
      <w:tblGrid>
        <w:gridCol w:w="586"/>
        <w:gridCol w:w="1576"/>
        <w:gridCol w:w="146"/>
        <w:gridCol w:w="146"/>
        <w:gridCol w:w="2596"/>
      </w:tblGrid>
      <w:tr>
        <w:trPr/>
        <w:tc>
          <w:tcPr>
            <w:tcW w:w="586"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96" w:type="dxa"/>
            <w:tcBorders/>
            <w:vAlign w:val="center"/>
          </w:tcPr>
          <w:p>
            <w:pPr>
              <w:pStyle w:val="TableContents"/>
              <w:bidi w:val="0"/>
              <w:spacing w:before="0" w:after="283"/>
              <w:jc w:val="left"/>
              <w:rPr>
                <w:sz w:val="4"/>
                <w:szCs w:val="4"/>
              </w:rPr>
            </w:pPr>
            <w:r>
              <w:rPr>
                <w:sz w:val="4"/>
                <w:szCs w:val="4"/>
              </w:rPr>
            </w:r>
          </w:p>
        </w:tc>
      </w:tr>
      <w:tr>
        <w:trPr/>
        <w:tc>
          <w:tcPr>
            <w:tcW w:w="58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Date:</w:t>
            </w:r>
          </w:p>
        </w:tc>
        <w:tc>
          <w:tcPr>
            <w:tcW w:w="157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February 4, 2026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EDMUND M. INGLE</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Edmund M. Ingle</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Chief Executive Officer</w:t>
            </w:r>
          </w:p>
        </w:tc>
      </w:tr>
      <w:tr>
        <w:trPr/>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c>
          <w:tcPr>
            <w:tcW w:w="157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596"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Executive Officer)</w:t>
            </w:r>
          </w:p>
        </w:tc>
      </w:tr>
    </w:tbl>
    <w:p>
      <w:pPr>
        <w:pStyle w:val="TextBody"/>
        <w:bidi w:val="0"/>
        <w:jc w:val="left"/>
        <w:rPr/>
      </w:pPr>
      <w:r>
        <w:rPr/>
        <w:t> </w:t>
      </w:r>
    </w:p>
    <w:p>
      <w:pPr>
        <w:pStyle w:val="TextBody"/>
        <w:bidi w:val="0"/>
        <w:jc w:val="left"/>
        <w:rPr/>
      </w:pPr>
      <w:r>
        <w:rPr/>
        <w:t> </w:t>
      </w:r>
    </w:p>
    <w:p>
      <w:pPr>
        <w:pStyle w:val="TextBody"/>
        <w:bidi w:val="0"/>
        <w:jc w:val="left"/>
        <w:rPr/>
      </w:pPr>
      <w:r>
        <w:rPr/>
        <w:t> </w:t>
      </w:r>
    </w:p>
    <w:tbl>
      <w:tblPr>
        <w:tblW w:w="5970" w:type="dxa"/>
        <w:jc w:val="left"/>
        <w:tblInd w:w="0" w:type="dxa"/>
        <w:tblLayout w:type="fixed"/>
        <w:tblCellMar>
          <w:top w:w="28" w:type="dxa"/>
          <w:left w:w="28" w:type="dxa"/>
          <w:bottom w:w="28" w:type="dxa"/>
          <w:right w:w="28" w:type="dxa"/>
        </w:tblCellMar>
      </w:tblPr>
      <w:tblGrid>
        <w:gridCol w:w="161"/>
        <w:gridCol w:w="146"/>
        <w:gridCol w:w="146"/>
        <w:gridCol w:w="146"/>
        <w:gridCol w:w="5371"/>
      </w:tblGrid>
      <w:tr>
        <w:trPr/>
        <w:tc>
          <w:tcPr>
            <w:tcW w:w="1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71" w:type="dxa"/>
            <w:tcBorders/>
            <w:vAlign w:val="center"/>
          </w:tcPr>
          <w:p>
            <w:pPr>
              <w:pStyle w:val="TableContents"/>
              <w:bidi w:val="0"/>
              <w:spacing w:before="0" w:after="283"/>
              <w:jc w:val="left"/>
              <w:rPr>
                <w:sz w:val="4"/>
                <w:szCs w:val="4"/>
              </w:rPr>
            </w:pPr>
            <w:r>
              <w:rPr>
                <w:sz w:val="4"/>
                <w:szCs w:val="4"/>
              </w:rPr>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/s/ ANDREW J. EAKER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Andrew J. Eaker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Executive Vice President &amp; Chief Financial Officer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Treasurer</w:t>
            </w:r>
          </w:p>
        </w:tc>
      </w:tr>
      <w:tr>
        <w:trPr/>
        <w:tc>
          <w:tcPr>
            <w:tcW w:w="16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371" w:type="dxa"/>
            <w:tcBorders/>
            <w:tcMar>
              <w:top w:w="0" w:type="dxa"/>
              <w:left w:w="0" w:type="dxa"/>
              <w:bottom w:w="0" w:type="dxa"/>
              <w:right w:w="0" w:type="dxa"/>
            </w:tcMar>
            <w:vAlign w:val="center"/>
          </w:tcPr>
          <w:p>
            <w:pPr>
              <w:pStyle w:val="TableContents"/>
              <w:bidi w:val="0"/>
              <w:spacing w:before="0" w:after="283"/>
              <w:jc w:val="left"/>
              <w:rPr>
                <w:rFonts w:ascii="Arial" w:hAnsi="Arial"/>
                <w:color w:val="000000"/>
                <w:sz w:val="20"/>
              </w:rPr>
            </w:pPr>
            <w:r>
              <w:rPr>
                <w:rFonts w:ascii="Arial" w:hAnsi="Arial"/>
                <w:color w:val="000000"/>
                <w:sz w:val="20"/>
              </w:rPr>
              <w:t>(Principal Financial Officer and Principal Accounting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726/000119312516753700/d275241dex31.htm" TargetMode="External"/><Relationship Id="rId3" Type="http://schemas.openxmlformats.org/officeDocument/2006/relationships/hyperlink" Target="https://www.sec.gov/Archives/edgar/data/100726/000119312516753700/d275241dex32.htm" TargetMode="External"/><Relationship Id="rId4" Type="http://schemas.openxmlformats.org/officeDocument/2006/relationships/hyperlink" Target="https://www.sec.gov/Archives/edgar/data/100726/000156459019014846/ufi-ex31_6.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26596</Words>
  <Characters>142953</Characters>
  <CharactersWithSpaces>171351</CharactersWithSpaces>
  <Paragraphs>9274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