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7" w:lineRule="exact"/>
        <w:rPr>
          <w:sz w:val="24"/>
          <w:szCs w:val="24"/>
          <w:color w:val="auto"/>
        </w:rPr>
      </w:pPr>
    </w:p>
    <w:p>
      <w:pPr>
        <w:jc w:val="center"/>
        <w:ind w:right="-4"/>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4"/>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112395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8" w:lineRule="exact"/>
        <w:rPr>
          <w:sz w:val="24"/>
          <w:szCs w:val="24"/>
          <w:color w:val="auto"/>
        </w:rPr>
      </w:pPr>
    </w:p>
    <w:p>
      <w:pPr>
        <w:jc w:val="center"/>
        <w:ind w:right="-4"/>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133985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21" w:lineRule="exact"/>
        <w:rPr>
          <w:sz w:val="24"/>
          <w:szCs w:val="24"/>
          <w:color w:val="auto"/>
        </w:rPr>
      </w:pPr>
    </w:p>
    <w:p>
      <w:pPr>
        <w:jc w:val="center"/>
        <w:ind w:right="-4"/>
        <w:spacing w:after="0"/>
        <w:rPr>
          <w:sz w:val="20"/>
          <w:szCs w:val="20"/>
          <w:color w:val="auto"/>
        </w:rPr>
      </w:pPr>
      <w:r>
        <w:rPr>
          <w:rFonts w:ascii="Arial" w:cs="Arial" w:eastAsia="Arial" w:hAnsi="Arial"/>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96" w:lineRule="exact"/>
        <w:rPr>
          <w:sz w:val="24"/>
          <w:szCs w:val="24"/>
          <w:color w:val="auto"/>
        </w:rPr>
      </w:pPr>
    </w:p>
    <w:p>
      <w:pPr>
        <w:jc w:val="center"/>
        <w:ind w:right="55"/>
        <w:spacing w:after="0"/>
        <w:rPr>
          <w:sz w:val="20"/>
          <w:szCs w:val="20"/>
          <w:color w:val="auto"/>
        </w:rPr>
      </w:pPr>
      <w:r>
        <w:rPr>
          <w:rFonts w:ascii="Arial" w:cs="Arial" w:eastAsia="Arial" w:hAnsi="Arial"/>
          <w:sz w:val="16"/>
          <w:szCs w:val="16"/>
          <w:b w:val="1"/>
          <w:bCs w:val="1"/>
          <w:color w:val="auto"/>
        </w:rPr>
        <w:t>Date of Report (Date of earliest event reported): October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171450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4"/>
        <w:spacing w:after="0"/>
        <w:rPr>
          <w:sz w:val="20"/>
          <w:szCs w:val="20"/>
          <w:color w:val="auto"/>
        </w:rPr>
      </w:pPr>
      <w:r>
        <w:rPr>
          <w:rFonts w:ascii="Arial" w:cs="Arial" w:eastAsia="Arial" w:hAnsi="Arial"/>
          <w:sz w:val="38"/>
          <w:szCs w:val="38"/>
          <w:b w:val="1"/>
          <w:bCs w:val="1"/>
          <w:color w:val="auto"/>
        </w:rPr>
        <w:t>UNIFI, INC.</w:t>
      </w:r>
    </w:p>
    <w:p>
      <w:pPr>
        <w:spacing w:after="0" w:line="84" w:lineRule="exact"/>
        <w:rPr>
          <w:sz w:val="24"/>
          <w:szCs w:val="24"/>
          <w:color w:val="auto"/>
        </w:rPr>
      </w:pPr>
    </w:p>
    <w:p>
      <w:pPr>
        <w:jc w:val="center"/>
        <w:ind w:right="-4"/>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198755</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tbl>
      <w:tblPr>
        <w:tblLayout w:type="fixed"/>
        <w:tblInd w:w="1205" w:type="dxa"/>
        <w:tblCellMar>
          <w:top w:w="0" w:type="dxa"/>
          <w:left w:w="0" w:type="dxa"/>
          <w:bottom w:w="0" w:type="dxa"/>
          <w:right w:w="0" w:type="dxa"/>
        </w:tblCellMar>
      </w:tblPr>
      <w:tr>
        <w:trPr>
          <w:trHeight w:val="184"/>
        </w:trPr>
        <w:tc>
          <w:tcPr>
            <w:tcW w:w="2940" w:type="dxa"/>
            <w:vAlign w:val="bottom"/>
          </w:tcPr>
          <w:p>
            <w:pPr>
              <w:jc w:val="center"/>
              <w:ind w:right="671"/>
              <w:spacing w:after="0"/>
              <w:rPr>
                <w:sz w:val="20"/>
                <w:szCs w:val="20"/>
                <w:color w:val="auto"/>
              </w:rPr>
            </w:pPr>
            <w:r>
              <w:rPr>
                <w:rFonts w:ascii="Arial" w:cs="Arial" w:eastAsia="Arial" w:hAnsi="Arial"/>
                <w:sz w:val="16"/>
                <w:szCs w:val="16"/>
                <w:b w:val="1"/>
                <w:bCs w:val="1"/>
                <w:color w:val="auto"/>
                <w:w w:val="98"/>
              </w:rPr>
              <w:t>New York</w:t>
            </w:r>
          </w:p>
        </w:tc>
        <w:tc>
          <w:tcPr>
            <w:tcW w:w="3280" w:type="dxa"/>
            <w:vAlign w:val="bottom"/>
          </w:tcPr>
          <w:p>
            <w:pPr>
              <w:jc w:val="right"/>
              <w:ind w:right="1431"/>
              <w:spacing w:after="0"/>
              <w:rPr>
                <w:sz w:val="20"/>
                <w:szCs w:val="20"/>
                <w:color w:val="auto"/>
              </w:rPr>
            </w:pPr>
            <w:r>
              <w:rPr>
                <w:rFonts w:ascii="Arial" w:cs="Arial" w:eastAsia="Arial" w:hAnsi="Arial"/>
                <w:sz w:val="16"/>
                <w:szCs w:val="16"/>
                <w:b w:val="1"/>
                <w:bCs w:val="1"/>
                <w:color w:val="auto"/>
              </w:rPr>
              <w:t>1-10542</w:t>
            </w:r>
          </w:p>
        </w:tc>
        <w:tc>
          <w:tcPr>
            <w:tcW w:w="2020" w:type="dxa"/>
            <w:vAlign w:val="bottom"/>
          </w:tcPr>
          <w:p>
            <w:pPr>
              <w:jc w:val="right"/>
              <w:ind w:right="13"/>
              <w:spacing w:after="0"/>
              <w:rPr>
                <w:sz w:val="20"/>
                <w:szCs w:val="20"/>
                <w:color w:val="auto"/>
              </w:rPr>
            </w:pPr>
            <w:r>
              <w:rPr>
                <w:rFonts w:ascii="Arial" w:cs="Arial" w:eastAsia="Arial" w:hAnsi="Arial"/>
                <w:sz w:val="16"/>
                <w:szCs w:val="16"/>
                <w:b w:val="1"/>
                <w:bCs w:val="1"/>
                <w:color w:val="auto"/>
              </w:rPr>
              <w:t>11-2165495</w:t>
            </w:r>
          </w:p>
        </w:tc>
      </w:tr>
      <w:tr>
        <w:trPr>
          <w:trHeight w:val="130"/>
        </w:trPr>
        <w:tc>
          <w:tcPr>
            <w:tcW w:w="2940" w:type="dxa"/>
            <w:vAlign w:val="bottom"/>
          </w:tcPr>
          <w:p>
            <w:pPr>
              <w:jc w:val="center"/>
              <w:ind w:right="671"/>
              <w:spacing w:after="0" w:line="130" w:lineRule="exact"/>
              <w:rPr>
                <w:sz w:val="20"/>
                <w:szCs w:val="20"/>
                <w:color w:val="auto"/>
              </w:rPr>
            </w:pPr>
            <w:r>
              <w:rPr>
                <w:rFonts w:ascii="Arial" w:cs="Arial" w:eastAsia="Arial" w:hAnsi="Arial"/>
                <w:sz w:val="12"/>
                <w:szCs w:val="12"/>
                <w:b w:val="1"/>
                <w:bCs w:val="1"/>
                <w:color w:val="auto"/>
                <w:w w:val="98"/>
              </w:rPr>
              <w:t>(State or other jurisdiction</w:t>
            </w:r>
          </w:p>
        </w:tc>
        <w:tc>
          <w:tcPr>
            <w:tcW w:w="3280" w:type="dxa"/>
            <w:vAlign w:val="bottom"/>
          </w:tcPr>
          <w:p>
            <w:pPr>
              <w:jc w:val="center"/>
              <w:ind w:right="231"/>
              <w:spacing w:after="0" w:line="130" w:lineRule="exact"/>
              <w:rPr>
                <w:sz w:val="20"/>
                <w:szCs w:val="20"/>
                <w:color w:val="auto"/>
              </w:rPr>
            </w:pPr>
            <w:r>
              <w:rPr>
                <w:rFonts w:ascii="Arial" w:cs="Arial" w:eastAsia="Arial" w:hAnsi="Arial"/>
                <w:sz w:val="12"/>
                <w:szCs w:val="12"/>
                <w:b w:val="1"/>
                <w:bCs w:val="1"/>
                <w:color w:val="auto"/>
                <w:w w:val="98"/>
              </w:rPr>
              <w:t>(Commission File Number)</w:t>
            </w:r>
          </w:p>
        </w:tc>
        <w:tc>
          <w:tcPr>
            <w:tcW w:w="2020" w:type="dxa"/>
            <w:vAlign w:val="bottom"/>
          </w:tcPr>
          <w:p>
            <w:pPr>
              <w:jc w:val="center"/>
              <w:ind w:left="973"/>
              <w:spacing w:after="0" w:line="130" w:lineRule="exact"/>
              <w:rPr>
                <w:sz w:val="20"/>
                <w:szCs w:val="20"/>
                <w:color w:val="auto"/>
              </w:rPr>
            </w:pPr>
            <w:r>
              <w:rPr>
                <w:rFonts w:ascii="Arial" w:cs="Arial" w:eastAsia="Arial" w:hAnsi="Arial"/>
                <w:sz w:val="12"/>
                <w:szCs w:val="12"/>
                <w:b w:val="1"/>
                <w:bCs w:val="1"/>
                <w:color w:val="auto"/>
                <w:w w:val="99"/>
              </w:rPr>
              <w:t>(IRS Employer</w:t>
            </w:r>
          </w:p>
        </w:tc>
      </w:tr>
      <w:tr>
        <w:trPr>
          <w:trHeight w:val="163"/>
        </w:trPr>
        <w:tc>
          <w:tcPr>
            <w:tcW w:w="2940" w:type="dxa"/>
            <w:vAlign w:val="bottom"/>
          </w:tcPr>
          <w:p>
            <w:pPr>
              <w:jc w:val="center"/>
              <w:ind w:right="651"/>
              <w:spacing w:after="0"/>
              <w:rPr>
                <w:sz w:val="20"/>
                <w:szCs w:val="20"/>
                <w:color w:val="auto"/>
              </w:rPr>
            </w:pPr>
            <w:r>
              <w:rPr>
                <w:rFonts w:ascii="Arial" w:cs="Arial" w:eastAsia="Arial" w:hAnsi="Arial"/>
                <w:sz w:val="12"/>
                <w:szCs w:val="12"/>
                <w:b w:val="1"/>
                <w:bCs w:val="1"/>
                <w:color w:val="auto"/>
                <w:w w:val="97"/>
              </w:rPr>
              <w:t>of incorporation)</w:t>
            </w:r>
          </w:p>
        </w:tc>
        <w:tc>
          <w:tcPr>
            <w:tcW w:w="3280" w:type="dxa"/>
            <w:vAlign w:val="bottom"/>
          </w:tcPr>
          <w:p>
            <w:pPr>
              <w:spacing w:after="0"/>
              <w:rPr>
                <w:sz w:val="14"/>
                <w:szCs w:val="14"/>
                <w:color w:val="auto"/>
              </w:rPr>
            </w:pPr>
          </w:p>
        </w:tc>
        <w:tc>
          <w:tcPr>
            <w:tcW w:w="2020" w:type="dxa"/>
            <w:vAlign w:val="bottom"/>
          </w:tcPr>
          <w:p>
            <w:pPr>
              <w:jc w:val="center"/>
              <w:ind w:left="953"/>
              <w:spacing w:after="0"/>
              <w:rPr>
                <w:sz w:val="20"/>
                <w:szCs w:val="20"/>
                <w:color w:val="auto"/>
              </w:rPr>
            </w:pPr>
            <w:r>
              <w:rPr>
                <w:rFonts w:ascii="Arial" w:cs="Arial" w:eastAsia="Arial" w:hAnsi="Arial"/>
                <w:sz w:val="12"/>
                <w:szCs w:val="12"/>
                <w:b w:val="1"/>
                <w:bCs w:val="1"/>
                <w:color w:val="auto"/>
                <w:w w:val="98"/>
              </w:rPr>
              <w:t>Identification No.)</w:t>
            </w:r>
          </w:p>
        </w:tc>
      </w:tr>
      <w:tr>
        <w:trPr>
          <w:trHeight w:val="318"/>
        </w:trPr>
        <w:tc>
          <w:tcPr>
            <w:tcW w:w="2940" w:type="dxa"/>
            <w:vAlign w:val="bottom"/>
          </w:tcPr>
          <w:p>
            <w:pPr>
              <w:jc w:val="center"/>
              <w:ind w:right="671"/>
              <w:spacing w:after="0"/>
              <w:rPr>
                <w:sz w:val="20"/>
                <w:szCs w:val="20"/>
                <w:color w:val="auto"/>
              </w:rPr>
            </w:pPr>
            <w:r>
              <w:rPr>
                <w:rFonts w:ascii="Arial" w:cs="Arial" w:eastAsia="Arial" w:hAnsi="Arial"/>
                <w:sz w:val="16"/>
                <w:szCs w:val="16"/>
                <w:b w:val="1"/>
                <w:bCs w:val="1"/>
                <w:color w:val="auto"/>
                <w:w w:val="98"/>
              </w:rPr>
              <w:t>7201 West Friendly Avenue</w:t>
            </w:r>
          </w:p>
        </w:tc>
        <w:tc>
          <w:tcPr>
            <w:tcW w:w="32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82"/>
        </w:trPr>
        <w:tc>
          <w:tcPr>
            <w:tcW w:w="2940" w:type="dxa"/>
            <w:vAlign w:val="bottom"/>
          </w:tcPr>
          <w:p>
            <w:pPr>
              <w:jc w:val="center"/>
              <w:ind w:right="671"/>
              <w:spacing w:after="0" w:line="181" w:lineRule="exact"/>
              <w:rPr>
                <w:sz w:val="20"/>
                <w:szCs w:val="20"/>
                <w:color w:val="auto"/>
              </w:rPr>
            </w:pPr>
            <w:r>
              <w:rPr>
                <w:rFonts w:ascii="Arial" w:cs="Arial" w:eastAsia="Arial" w:hAnsi="Arial"/>
                <w:sz w:val="16"/>
                <w:szCs w:val="16"/>
                <w:b w:val="1"/>
                <w:bCs w:val="1"/>
                <w:color w:val="auto"/>
                <w:w w:val="98"/>
              </w:rPr>
              <w:t>Greensboro, North Carolina</w:t>
            </w:r>
          </w:p>
        </w:tc>
        <w:tc>
          <w:tcPr>
            <w:tcW w:w="3280" w:type="dxa"/>
            <w:vAlign w:val="bottom"/>
          </w:tcPr>
          <w:p>
            <w:pPr>
              <w:spacing w:after="0"/>
              <w:rPr>
                <w:sz w:val="15"/>
                <w:szCs w:val="15"/>
                <w:color w:val="auto"/>
              </w:rPr>
            </w:pPr>
          </w:p>
        </w:tc>
        <w:tc>
          <w:tcPr>
            <w:tcW w:w="2020" w:type="dxa"/>
            <w:vAlign w:val="bottom"/>
          </w:tcPr>
          <w:p>
            <w:pPr>
              <w:jc w:val="right"/>
              <w:ind w:right="213"/>
              <w:spacing w:after="0" w:line="181" w:lineRule="exact"/>
              <w:rPr>
                <w:sz w:val="20"/>
                <w:szCs w:val="20"/>
                <w:color w:val="auto"/>
              </w:rPr>
            </w:pPr>
            <w:r>
              <w:rPr>
                <w:rFonts w:ascii="Arial" w:cs="Arial" w:eastAsia="Arial" w:hAnsi="Arial"/>
                <w:sz w:val="16"/>
                <w:szCs w:val="16"/>
                <w:b w:val="1"/>
                <w:bCs w:val="1"/>
                <w:color w:val="auto"/>
              </w:rPr>
              <w:t>27410</w:t>
            </w:r>
          </w:p>
        </w:tc>
      </w:tr>
      <w:tr>
        <w:trPr>
          <w:trHeight w:val="163"/>
        </w:trPr>
        <w:tc>
          <w:tcPr>
            <w:tcW w:w="2940" w:type="dxa"/>
            <w:vAlign w:val="bottom"/>
          </w:tcPr>
          <w:p>
            <w:pPr>
              <w:jc w:val="center"/>
              <w:ind w:right="651"/>
              <w:spacing w:after="0"/>
              <w:rPr>
                <w:sz w:val="20"/>
                <w:szCs w:val="20"/>
                <w:color w:val="auto"/>
              </w:rPr>
            </w:pPr>
            <w:r>
              <w:rPr>
                <w:rFonts w:ascii="Arial" w:cs="Arial" w:eastAsia="Arial" w:hAnsi="Arial"/>
                <w:sz w:val="12"/>
                <w:szCs w:val="12"/>
                <w:b w:val="1"/>
                <w:bCs w:val="1"/>
                <w:color w:val="auto"/>
                <w:w w:val="99"/>
              </w:rPr>
              <w:t>(Address of principal executive offices)</w:t>
            </w:r>
          </w:p>
        </w:tc>
        <w:tc>
          <w:tcPr>
            <w:tcW w:w="3280" w:type="dxa"/>
            <w:vAlign w:val="bottom"/>
          </w:tcPr>
          <w:p>
            <w:pPr>
              <w:spacing w:after="0"/>
              <w:rPr>
                <w:sz w:val="14"/>
                <w:szCs w:val="14"/>
                <w:color w:val="auto"/>
              </w:rPr>
            </w:pPr>
          </w:p>
        </w:tc>
        <w:tc>
          <w:tcPr>
            <w:tcW w:w="2020" w:type="dxa"/>
            <w:vAlign w:val="bottom"/>
          </w:tcPr>
          <w:p>
            <w:pPr>
              <w:jc w:val="center"/>
              <w:ind w:left="973"/>
              <w:spacing w:after="0"/>
              <w:rPr>
                <w:sz w:val="20"/>
                <w:szCs w:val="20"/>
                <w:color w:val="auto"/>
              </w:rPr>
            </w:pPr>
            <w:r>
              <w:rPr>
                <w:rFonts w:ascii="Arial" w:cs="Arial" w:eastAsia="Arial" w:hAnsi="Arial"/>
                <w:sz w:val="12"/>
                <w:szCs w:val="12"/>
                <w:b w:val="1"/>
                <w:bCs w:val="1"/>
                <w:color w:val="auto"/>
                <w:w w:val="97"/>
              </w:rPr>
              <w:t>(Zip Code)</w:t>
            </w:r>
          </w:p>
        </w:tc>
      </w:tr>
    </w:tbl>
    <w:p>
      <w:pPr>
        <w:spacing w:after="0" w:line="341" w:lineRule="exact"/>
        <w:rPr>
          <w:sz w:val="24"/>
          <w:szCs w:val="24"/>
          <w:color w:val="auto"/>
        </w:rPr>
      </w:pPr>
    </w:p>
    <w:p>
      <w:pPr>
        <w:jc w:val="center"/>
        <w:ind w:right="55"/>
        <w:spacing w:after="0"/>
        <w:rPr>
          <w:sz w:val="20"/>
          <w:szCs w:val="20"/>
          <w:color w:val="auto"/>
        </w:rPr>
      </w:pPr>
      <w:r>
        <w:rPr>
          <w:rFonts w:ascii="Arial" w:cs="Arial" w:eastAsia="Arial" w:hAnsi="Arial"/>
          <w:sz w:val="16"/>
          <w:szCs w:val="16"/>
          <w:b w:val="1"/>
          <w:bCs w:val="1"/>
          <w:color w:val="auto"/>
        </w:rPr>
        <w:t>Registrant’s telephone number, including area code: (336) 294-4410</w:t>
      </w:r>
    </w:p>
    <w:p>
      <w:pPr>
        <w:spacing w:after="0" w:line="325" w:lineRule="exact"/>
        <w:rPr>
          <w:sz w:val="24"/>
          <w:szCs w:val="24"/>
          <w:color w:val="auto"/>
        </w:rPr>
      </w:pPr>
    </w:p>
    <w:p>
      <w:pPr>
        <w:jc w:val="center"/>
        <w:ind w:right="-4"/>
        <w:spacing w:after="0"/>
        <w:rPr>
          <w:sz w:val="20"/>
          <w:szCs w:val="20"/>
          <w:color w:val="auto"/>
        </w:rPr>
      </w:pPr>
      <w:r>
        <w:rPr>
          <w:rFonts w:ascii="Arial" w:cs="Arial" w:eastAsia="Arial" w:hAnsi="Arial"/>
          <w:sz w:val="16"/>
          <w:szCs w:val="16"/>
          <w:b w:val="1"/>
          <w:bCs w:val="1"/>
          <w:color w:val="auto"/>
        </w:rPr>
        <w:t>Not Applicable</w:t>
      </w:r>
    </w:p>
    <w:p>
      <w:pPr>
        <w:spacing w:after="0" w:line="10" w:lineRule="exact"/>
        <w:rPr>
          <w:sz w:val="24"/>
          <w:szCs w:val="24"/>
          <w:color w:val="auto"/>
        </w:rPr>
      </w:pPr>
    </w:p>
    <w:p>
      <w:pPr>
        <w:jc w:val="center"/>
        <w:ind w:right="-4"/>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205740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ind w:left="5"/>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87" w:lineRule="exact"/>
        <w:rPr>
          <w:sz w:val="24"/>
          <w:szCs w:val="24"/>
          <w:color w:val="auto"/>
        </w:rPr>
      </w:pPr>
    </w:p>
    <w:p>
      <w:pPr>
        <w:ind w:left="305" w:hanging="305"/>
        <w:spacing w:after="0"/>
        <w:tabs>
          <w:tab w:leader="none" w:pos="305"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Written communications pursuant to Rule 425 under the Securities Act (17 CFR 230.425)</w:t>
      </w:r>
    </w:p>
    <w:p>
      <w:pPr>
        <w:spacing w:after="0" w:line="98" w:lineRule="exact"/>
        <w:rPr>
          <w:rFonts w:ascii="MS PGothic" w:cs="MS PGothic" w:eastAsia="MS PGothic" w:hAnsi="MS PGothic"/>
          <w:sz w:val="13"/>
          <w:szCs w:val="13"/>
          <w:color w:val="auto"/>
        </w:rPr>
      </w:pPr>
    </w:p>
    <w:p>
      <w:pPr>
        <w:ind w:left="305" w:hanging="305"/>
        <w:spacing w:after="0"/>
        <w:tabs>
          <w:tab w:leader="none" w:pos="305"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Rule 14a-12 under the Exchange Act (17 CFR 240.14a-12)</w:t>
      </w:r>
    </w:p>
    <w:p>
      <w:pPr>
        <w:spacing w:after="0" w:line="98" w:lineRule="exact"/>
        <w:rPr>
          <w:rFonts w:ascii="MS PGothic" w:cs="MS PGothic" w:eastAsia="MS PGothic" w:hAnsi="MS PGothic"/>
          <w:sz w:val="13"/>
          <w:szCs w:val="13"/>
          <w:color w:val="auto"/>
        </w:rPr>
      </w:pPr>
    </w:p>
    <w:p>
      <w:pPr>
        <w:ind w:left="305" w:hanging="305"/>
        <w:spacing w:after="0"/>
        <w:tabs>
          <w:tab w:leader="none" w:pos="305"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14d-2(b) under the Exchange Act (17 CFR 240.14d-2(b))</w:t>
      </w:r>
    </w:p>
    <w:p>
      <w:pPr>
        <w:spacing w:after="0" w:line="98" w:lineRule="exact"/>
        <w:rPr>
          <w:rFonts w:ascii="MS PGothic" w:cs="MS PGothic" w:eastAsia="MS PGothic" w:hAnsi="MS PGothic"/>
          <w:sz w:val="13"/>
          <w:szCs w:val="13"/>
          <w:color w:val="auto"/>
        </w:rPr>
      </w:pPr>
    </w:p>
    <w:p>
      <w:pPr>
        <w:ind w:left="305" w:hanging="305"/>
        <w:spacing w:after="0"/>
        <w:tabs>
          <w:tab w:leader="none" w:pos="305"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13e-4(c) under the Exchange Act (17 CFR 240.13e-4(c))</w:t>
      </w:r>
    </w:p>
    <w:p>
      <w:pPr>
        <w:spacing w:after="0" w:line="146" w:lineRule="exact"/>
        <w:rPr>
          <w:sz w:val="24"/>
          <w:szCs w:val="24"/>
          <w:color w:val="auto"/>
        </w:rPr>
      </w:pPr>
    </w:p>
    <w:tbl>
      <w:tblPr>
        <w:tblLayout w:type="fixed"/>
        <w:tblInd w:w="5" w:type="dxa"/>
        <w:tblCellMar>
          <w:top w:w="0" w:type="dxa"/>
          <w:left w:w="0" w:type="dxa"/>
          <w:bottom w:w="0" w:type="dxa"/>
          <w:right w:w="0" w:type="dxa"/>
        </w:tblCellMar>
      </w:tblPr>
      <w:tr>
        <w:trPr>
          <w:trHeight w:val="172"/>
        </w:trPr>
        <w:tc>
          <w:tcPr>
            <w:tcW w:w="3600" w:type="dxa"/>
            <w:vAlign w:val="bottom"/>
          </w:tcPr>
          <w:p>
            <w:pPr>
              <w:spacing w:after="0"/>
              <w:rPr>
                <w:sz w:val="14"/>
                <w:szCs w:val="14"/>
                <w:color w:val="auto"/>
              </w:rPr>
            </w:pPr>
          </w:p>
        </w:tc>
        <w:tc>
          <w:tcPr>
            <w:tcW w:w="3780" w:type="dxa"/>
            <w:vAlign w:val="bottom"/>
            <w:gridSpan w:val="5"/>
          </w:tcPr>
          <w:p>
            <w:pPr>
              <w:ind w:left="300"/>
              <w:spacing w:after="0"/>
              <w:rPr>
                <w:sz w:val="20"/>
                <w:szCs w:val="20"/>
                <w:color w:val="auto"/>
              </w:rPr>
            </w:pPr>
            <w:r>
              <w:rPr>
                <w:rFonts w:ascii="Arial" w:cs="Arial" w:eastAsia="Arial" w:hAnsi="Arial"/>
                <w:sz w:val="13"/>
                <w:szCs w:val="13"/>
                <w:b w:val="1"/>
                <w:bCs w:val="1"/>
                <w:color w:val="auto"/>
                <w:w w:val="96"/>
              </w:rPr>
              <w:t>Securities registered pursuant to Section 12(b) of the Act:</w:t>
            </w:r>
          </w:p>
        </w:tc>
        <w:tc>
          <w:tcPr>
            <w:tcW w:w="3880" w:type="dxa"/>
            <w:vAlign w:val="bottom"/>
          </w:tcPr>
          <w:p>
            <w:pPr>
              <w:spacing w:after="0"/>
              <w:rPr>
                <w:sz w:val="14"/>
                <w:szCs w:val="14"/>
                <w:color w:val="auto"/>
              </w:rPr>
            </w:pPr>
          </w:p>
        </w:tc>
      </w:tr>
      <w:tr>
        <w:trPr>
          <w:trHeight w:val="254"/>
        </w:trPr>
        <w:tc>
          <w:tcPr>
            <w:tcW w:w="3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980" w:type="dxa"/>
            <w:vAlign w:val="bottom"/>
            <w:gridSpan w:val="3"/>
          </w:tcPr>
          <w:p>
            <w:pPr>
              <w:jc w:val="center"/>
              <w:ind w:right="1300"/>
              <w:spacing w:after="0"/>
              <w:rPr>
                <w:sz w:val="20"/>
                <w:szCs w:val="20"/>
                <w:color w:val="auto"/>
              </w:rPr>
            </w:pPr>
            <w:r>
              <w:rPr>
                <w:rFonts w:ascii="Arial" w:cs="Arial" w:eastAsia="Arial" w:hAnsi="Arial"/>
                <w:sz w:val="13"/>
                <w:szCs w:val="13"/>
                <w:b w:val="1"/>
                <w:bCs w:val="1"/>
                <w:color w:val="auto"/>
              </w:rPr>
              <w:t>Trading</w:t>
            </w:r>
          </w:p>
        </w:tc>
        <w:tc>
          <w:tcPr>
            <w:tcW w:w="3880" w:type="dxa"/>
            <w:vAlign w:val="bottom"/>
          </w:tcPr>
          <w:p>
            <w:pPr>
              <w:spacing w:after="0"/>
              <w:rPr>
                <w:sz w:val="22"/>
                <w:szCs w:val="22"/>
                <w:color w:val="auto"/>
              </w:rPr>
            </w:pPr>
          </w:p>
        </w:tc>
      </w:tr>
      <w:tr>
        <w:trPr>
          <w:trHeight w:val="150"/>
        </w:trPr>
        <w:tc>
          <w:tcPr>
            <w:tcW w:w="3600" w:type="dxa"/>
            <w:vAlign w:val="bottom"/>
          </w:tcPr>
          <w:p>
            <w:pPr>
              <w:jc w:val="center"/>
              <w:ind w:left="617"/>
              <w:spacing w:after="0"/>
              <w:rPr>
                <w:sz w:val="20"/>
                <w:szCs w:val="20"/>
                <w:color w:val="auto"/>
              </w:rPr>
            </w:pPr>
            <w:r>
              <w:rPr>
                <w:rFonts w:ascii="Arial" w:cs="Arial" w:eastAsia="Arial" w:hAnsi="Arial"/>
                <w:sz w:val="13"/>
                <w:szCs w:val="13"/>
                <w:b w:val="1"/>
                <w:bCs w:val="1"/>
                <w:color w:val="auto"/>
                <w:w w:val="96"/>
              </w:rPr>
              <w:t>Title of each class</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80" w:type="dxa"/>
            <w:vAlign w:val="bottom"/>
            <w:gridSpan w:val="3"/>
          </w:tcPr>
          <w:p>
            <w:pPr>
              <w:jc w:val="center"/>
              <w:ind w:right="1300"/>
              <w:spacing w:after="0"/>
              <w:rPr>
                <w:sz w:val="20"/>
                <w:szCs w:val="20"/>
                <w:color w:val="auto"/>
              </w:rPr>
            </w:pPr>
            <w:r>
              <w:rPr>
                <w:rFonts w:ascii="Arial" w:cs="Arial" w:eastAsia="Arial" w:hAnsi="Arial"/>
                <w:sz w:val="13"/>
                <w:szCs w:val="13"/>
                <w:b w:val="1"/>
                <w:bCs w:val="1"/>
                <w:color w:val="auto"/>
                <w:w w:val="95"/>
              </w:rPr>
              <w:t>Symbol(s)</w:t>
            </w:r>
          </w:p>
        </w:tc>
        <w:tc>
          <w:tcPr>
            <w:tcW w:w="3880" w:type="dxa"/>
            <w:vAlign w:val="bottom"/>
          </w:tcPr>
          <w:p>
            <w:pPr>
              <w:jc w:val="center"/>
              <w:ind w:right="1117"/>
              <w:spacing w:after="0"/>
              <w:rPr>
                <w:sz w:val="20"/>
                <w:szCs w:val="20"/>
                <w:color w:val="auto"/>
              </w:rPr>
            </w:pPr>
            <w:r>
              <w:rPr>
                <w:rFonts w:ascii="Arial" w:cs="Arial" w:eastAsia="Arial" w:hAnsi="Arial"/>
                <w:sz w:val="13"/>
                <w:szCs w:val="13"/>
                <w:b w:val="1"/>
                <w:bCs w:val="1"/>
                <w:color w:val="auto"/>
                <w:w w:val="96"/>
              </w:rPr>
              <w:t>Name of each exchange on which registered</w:t>
            </w:r>
          </w:p>
        </w:tc>
      </w:tr>
      <w:tr>
        <w:trPr>
          <w:trHeight w:val="158"/>
        </w:trPr>
        <w:tc>
          <w:tcPr>
            <w:tcW w:w="3600" w:type="dxa"/>
            <w:vAlign w:val="bottom"/>
            <w:tcBorders>
              <w:top w:val="single" w:sz="8" w:color="auto"/>
            </w:tcBorders>
          </w:tcPr>
          <w:p>
            <w:pPr>
              <w:jc w:val="center"/>
              <w:ind w:left="617"/>
              <w:spacing w:after="0"/>
              <w:rPr>
                <w:sz w:val="20"/>
                <w:szCs w:val="20"/>
                <w:color w:val="auto"/>
              </w:rPr>
            </w:pPr>
            <w:r>
              <w:rPr>
                <w:rFonts w:ascii="Arial" w:cs="Arial" w:eastAsia="Arial" w:hAnsi="Arial"/>
                <w:sz w:val="13"/>
                <w:szCs w:val="13"/>
                <w:color w:val="auto"/>
                <w:w w:val="96"/>
              </w:rPr>
              <w:t>Common Stock, par value $0.10 per share</w:t>
            </w: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5"/>
              </w:rPr>
              <w:t>UFI</w:t>
            </w:r>
          </w:p>
        </w:tc>
        <w:tc>
          <w:tcPr>
            <w:tcW w:w="12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3880" w:type="dxa"/>
            <w:vAlign w:val="bottom"/>
            <w:tcBorders>
              <w:top w:val="single" w:sz="8" w:color="auto"/>
            </w:tcBorders>
          </w:tcPr>
          <w:p>
            <w:pPr>
              <w:jc w:val="center"/>
              <w:ind w:right="1137"/>
              <w:spacing w:after="0"/>
              <w:rPr>
                <w:sz w:val="20"/>
                <w:szCs w:val="20"/>
                <w:color w:val="auto"/>
              </w:rPr>
            </w:pPr>
            <w:r>
              <w:rPr>
                <w:rFonts w:ascii="Arial" w:cs="Arial" w:eastAsia="Arial" w:hAnsi="Arial"/>
                <w:sz w:val="13"/>
                <w:szCs w:val="13"/>
                <w:color w:val="auto"/>
                <w:w w:val="96"/>
              </w:rPr>
              <w:t>New York Stock Exchange</w:t>
            </w:r>
          </w:p>
        </w:tc>
      </w:tr>
    </w:tbl>
    <w:p>
      <w:pPr>
        <w:spacing w:after="0" w:line="157" w:lineRule="exact"/>
        <w:rPr>
          <w:sz w:val="24"/>
          <w:szCs w:val="24"/>
          <w:color w:val="auto"/>
        </w:rPr>
      </w:pPr>
    </w:p>
    <w:p>
      <w:pPr>
        <w:ind w:left="5" w:right="180"/>
        <w:spacing w:after="0" w:line="254"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ind w:left="5"/>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75" w:lineRule="exact"/>
        <w:rPr>
          <w:sz w:val="24"/>
          <w:szCs w:val="24"/>
          <w:color w:val="auto"/>
        </w:rPr>
      </w:pPr>
    </w:p>
    <w:p>
      <w:pPr>
        <w:ind w:left="5" w:right="440"/>
        <w:spacing w:after="0" w:line="163"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536575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106680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121285</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5"/>
          </w:cols>
          <w:pgMar w:left="315" w:top="1085" w:right="319" w:bottom="1440" w:gutter="0" w:footer="0" w:header="0"/>
        </w:sectPr>
      </w:pPr>
    </w:p>
    <w:bookmarkStart w:id="1" w:name="page2"/>
    <w:bookmarkEnd w:id="1"/>
    <w:p>
      <w:pPr>
        <w:ind w:left="5"/>
        <w:spacing w:after="0"/>
        <w:rPr>
          <w:sz w:val="20"/>
          <w:szCs w:val="20"/>
          <w:color w:val="auto"/>
        </w:rPr>
      </w:pPr>
      <w:r>
        <w:rPr>
          <w:rFonts w:ascii="Arial" w:cs="Arial" w:eastAsia="Arial" w:hAnsi="Arial"/>
          <w:sz w:val="13"/>
          <w:szCs w:val="13"/>
          <w:b w:val="1"/>
          <w:bCs w:val="1"/>
          <w:color w:val="auto"/>
        </w:rPr>
        <w:t>Item 1.01.  Entry into a Material Definitive Agreement.</w:t>
      </w:r>
    </w:p>
    <w:p>
      <w:pPr>
        <w:spacing w:after="0" w:line="87" w:lineRule="exact"/>
        <w:rPr>
          <w:sz w:val="20"/>
          <w:szCs w:val="20"/>
          <w:color w:val="auto"/>
        </w:rPr>
      </w:pPr>
    </w:p>
    <w:p>
      <w:pPr>
        <w:jc w:val="both"/>
        <w:ind w:left="5"/>
        <w:spacing w:after="0" w:line="241" w:lineRule="auto"/>
        <w:rPr>
          <w:sz w:val="20"/>
          <w:szCs w:val="20"/>
          <w:color w:val="auto"/>
        </w:rPr>
      </w:pPr>
      <w:r>
        <w:rPr>
          <w:rFonts w:ascii="Arial" w:cs="Arial" w:eastAsia="Arial" w:hAnsi="Arial"/>
          <w:sz w:val="13"/>
          <w:szCs w:val="13"/>
          <w:color w:val="auto"/>
        </w:rPr>
        <w:t>On October 28, 2026, Unifi, Inc. (the “Company”) entered into a Fourth Amendment (the “Fourth Amendment”) to its Second Amended and Restated Credit Agreement, dated as of October 28, 2022, by and among the Company and Unifi Manufacturing, Inc., a wholly owned subsidiary of the Company (“UMI”), as borrowers, the lenders from time to time party thereto, and Wells Fargo Bank, National Association, as agent (as amended, the “Credit Agreement”).</w:t>
      </w:r>
    </w:p>
    <w:p>
      <w:pPr>
        <w:spacing w:after="0" w:line="70" w:lineRule="exact"/>
        <w:rPr>
          <w:sz w:val="20"/>
          <w:szCs w:val="20"/>
          <w:color w:val="auto"/>
        </w:rPr>
      </w:pPr>
    </w:p>
    <w:p>
      <w:pPr>
        <w:jc w:val="both"/>
        <w:ind w:left="5" w:right="20"/>
        <w:spacing w:after="0" w:line="241" w:lineRule="auto"/>
        <w:rPr>
          <w:sz w:val="20"/>
          <w:szCs w:val="20"/>
          <w:color w:val="auto"/>
        </w:rPr>
      </w:pPr>
      <w:r>
        <w:rPr>
          <w:rFonts w:ascii="Arial" w:cs="Arial" w:eastAsia="Arial" w:hAnsi="Arial"/>
          <w:sz w:val="13"/>
          <w:szCs w:val="13"/>
          <w:color w:val="auto"/>
        </w:rPr>
        <w:t>The Fourth Amendment amends the Credit Agreement to (a) permit UMI to consummate the transaction contemplated by the Purchase Agreement (as defined below) and (b) permit UMI to allocate a portion of the net proceeds from such transaction (including any deferred compensation payable pursuant to the terms of the Purchase Agreement) to repay revolving loans outstanding under the Credit Agreement, after the application of such net proceeds toward the term loans outstanding under the Credit Agreement.</w:t>
      </w:r>
    </w:p>
    <w:p>
      <w:pPr>
        <w:spacing w:after="0" w:line="259" w:lineRule="exact"/>
        <w:rPr>
          <w:sz w:val="20"/>
          <w:szCs w:val="20"/>
          <w:color w:val="auto"/>
        </w:rPr>
      </w:pPr>
    </w:p>
    <w:p>
      <w:pPr>
        <w:ind w:left="5"/>
        <w:spacing w:after="0"/>
        <w:tabs>
          <w:tab w:leader="none" w:pos="685" w:val="left"/>
        </w:tabs>
        <w:rPr>
          <w:sz w:val="20"/>
          <w:szCs w:val="20"/>
          <w:color w:val="auto"/>
        </w:rPr>
      </w:pPr>
      <w:r>
        <w:rPr>
          <w:rFonts w:ascii="Arial" w:cs="Arial" w:eastAsia="Arial" w:hAnsi="Arial"/>
          <w:sz w:val="13"/>
          <w:szCs w:val="13"/>
          <w:b w:val="1"/>
          <w:bCs w:val="1"/>
          <w:color w:val="auto"/>
        </w:rPr>
        <w:t>Item 2.01.</w:t>
      </w:r>
      <w:r>
        <w:rPr>
          <w:sz w:val="20"/>
          <w:szCs w:val="20"/>
          <w:color w:val="auto"/>
        </w:rPr>
        <w:tab/>
      </w:r>
      <w:r>
        <w:rPr>
          <w:rFonts w:ascii="Arial" w:cs="Arial" w:eastAsia="Arial" w:hAnsi="Arial"/>
          <w:sz w:val="12"/>
          <w:szCs w:val="12"/>
          <w:b w:val="1"/>
          <w:bCs w:val="1"/>
          <w:color w:val="auto"/>
        </w:rPr>
        <w:t>Completion of Acquisition or Disposition of Assets.</w:t>
      </w:r>
    </w:p>
    <w:p>
      <w:pPr>
        <w:spacing w:after="0" w:line="87" w:lineRule="exact"/>
        <w:rPr>
          <w:sz w:val="20"/>
          <w:szCs w:val="20"/>
          <w:color w:val="auto"/>
        </w:rPr>
      </w:pPr>
    </w:p>
    <w:p>
      <w:pPr>
        <w:jc w:val="both"/>
        <w:ind w:left="5"/>
        <w:spacing w:after="0" w:line="235" w:lineRule="auto"/>
        <w:rPr>
          <w:sz w:val="20"/>
          <w:szCs w:val="20"/>
          <w:color w:val="auto"/>
        </w:rPr>
      </w:pPr>
      <w:r>
        <w:rPr>
          <w:rFonts w:ascii="Arial" w:cs="Arial" w:eastAsia="Arial" w:hAnsi="Arial"/>
          <w:sz w:val="13"/>
          <w:szCs w:val="13"/>
          <w:color w:val="auto"/>
        </w:rPr>
        <w:t>On October 28, 2026, UMI completed the previously announced sale of certain real property consisting of industrial/manufacturing building spaces and certain land underlying and surrounding the same located in Yadkin County, North Carolina pursuant to the Real Estate Purchase and Sale Agreement, dated August 16, 2026 (the “Purchase Agreement”), by and among UMI and Enovum NC-2 Bidco, LLC and Enovum NC-3 Bidco, LLC, as assignees of Enovum Data Centers Corp. (collectively with Enovum NC-2 Bidco, LLC and Enovum NC-3 Bidco, LLC, “Enovum”). The aggregate purchase price was $60.0 million in cash (the “Purchase Price”). The earnest money deposit of $2.25 million that was deposited in escrow pursuant to the terms of the Purchase Agreement was applied toward the Purchase Price.</w:t>
      </w:r>
    </w:p>
    <w:p>
      <w:pPr>
        <w:spacing w:after="0" w:line="72" w:lineRule="exact"/>
        <w:rPr>
          <w:sz w:val="20"/>
          <w:szCs w:val="20"/>
          <w:color w:val="auto"/>
        </w:rPr>
      </w:pPr>
    </w:p>
    <w:p>
      <w:pPr>
        <w:jc w:val="both"/>
        <w:ind w:left="5"/>
        <w:spacing w:after="0" w:line="254" w:lineRule="auto"/>
        <w:rPr>
          <w:sz w:val="20"/>
          <w:szCs w:val="20"/>
          <w:color w:val="auto"/>
        </w:rPr>
      </w:pPr>
      <w:r>
        <w:rPr>
          <w:rFonts w:ascii="Arial" w:cs="Arial" w:eastAsia="Arial" w:hAnsi="Arial"/>
          <w:sz w:val="13"/>
          <w:szCs w:val="13"/>
          <w:color w:val="auto"/>
        </w:rPr>
        <w:t>The net proceeds of the transaction were used to fully repay the outstanding principal balance of term loans outstanding under the Credit Agreement with the balance applied to repay a portion of the revolving loans outstanding under the Credit Agreement.</w:t>
      </w:r>
    </w:p>
    <w:p>
      <w:pPr>
        <w:spacing w:after="0" w:line="62" w:lineRule="exact"/>
        <w:rPr>
          <w:sz w:val="20"/>
          <w:szCs w:val="20"/>
          <w:color w:val="auto"/>
        </w:rPr>
      </w:pPr>
    </w:p>
    <w:p>
      <w:pPr>
        <w:ind w:left="5"/>
        <w:spacing w:after="0"/>
        <w:rPr>
          <w:sz w:val="20"/>
          <w:szCs w:val="20"/>
          <w:color w:val="auto"/>
        </w:rPr>
      </w:pPr>
      <w:r>
        <w:rPr>
          <w:rFonts w:ascii="Arial" w:cs="Arial" w:eastAsia="Arial" w:hAnsi="Arial"/>
          <w:sz w:val="12"/>
          <w:szCs w:val="12"/>
          <w:color w:val="auto"/>
        </w:rPr>
        <w:t>There were no material relationships between Enovum and the Company or any of its affiliates, or any of its directors or officers, or any associate of any such director or officer, other than with respect to</w:t>
      </w:r>
    </w:p>
    <w:p>
      <w:pPr>
        <w:spacing w:after="0" w:line="16" w:lineRule="exact"/>
        <w:rPr>
          <w:sz w:val="20"/>
          <w:szCs w:val="20"/>
          <w:color w:val="auto"/>
        </w:rPr>
      </w:pPr>
    </w:p>
    <w:p>
      <w:pPr>
        <w:ind w:left="5" w:right="20" w:hanging="5"/>
        <w:spacing w:after="0" w:line="237" w:lineRule="auto"/>
        <w:tabs>
          <w:tab w:leader="none" w:pos="203"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transactions contemplated by the Purchase Agreement and (b) the outstanding obligations under a Real Estate Purchase and Sale Agreement, dated April 10, 2025, by and between UMI and Enovum Data Centers Corp., as amended on May 19, 2025.</w:t>
      </w:r>
    </w:p>
    <w:p>
      <w:pPr>
        <w:spacing w:after="0" w:line="260" w:lineRule="exact"/>
        <w:rPr>
          <w:sz w:val="20"/>
          <w:szCs w:val="20"/>
          <w:color w:val="auto"/>
        </w:rPr>
      </w:pPr>
    </w:p>
    <w:p>
      <w:pPr>
        <w:ind w:left="5"/>
        <w:spacing w:after="0"/>
        <w:rPr>
          <w:sz w:val="20"/>
          <w:szCs w:val="20"/>
          <w:color w:val="auto"/>
        </w:rPr>
      </w:pPr>
      <w:r>
        <w:rPr>
          <w:rFonts w:ascii="Arial" w:cs="Arial" w:eastAsia="Arial" w:hAnsi="Arial"/>
          <w:sz w:val="13"/>
          <w:szCs w:val="13"/>
          <w:b w:val="1"/>
          <w:bCs w:val="1"/>
          <w:color w:val="auto"/>
        </w:rPr>
        <w:t>Item 2.02.  Results of Operations and Financial Condition.</w:t>
      </w:r>
    </w:p>
    <w:p>
      <w:pPr>
        <w:spacing w:after="0" w:line="87" w:lineRule="exact"/>
        <w:rPr>
          <w:sz w:val="20"/>
          <w:szCs w:val="20"/>
          <w:color w:val="auto"/>
        </w:rPr>
      </w:pPr>
    </w:p>
    <w:p>
      <w:pPr>
        <w:jc w:val="both"/>
        <w:ind w:left="5"/>
        <w:spacing w:after="0" w:line="254" w:lineRule="auto"/>
        <w:rPr>
          <w:sz w:val="20"/>
          <w:szCs w:val="20"/>
          <w:color w:val="auto"/>
        </w:rPr>
      </w:pPr>
      <w:r>
        <w:rPr>
          <w:rFonts w:ascii="Arial" w:cs="Arial" w:eastAsia="Arial" w:hAnsi="Arial"/>
          <w:sz w:val="13"/>
          <w:szCs w:val="13"/>
          <w:color w:val="auto"/>
        </w:rPr>
        <w:t>On October 29, 2026, the Company issued press releases announcing (a) the closing of the sale contemplated by the Purchase Agreement and (b) its operating results for the fiscal first quarter ended September 27, 2026, copies of which are attached hereto as Exhibits 99.1 and 99.2, respectively.</w:t>
      </w:r>
    </w:p>
    <w:p>
      <w:pPr>
        <w:spacing w:after="0" w:line="62" w:lineRule="exact"/>
        <w:rPr>
          <w:sz w:val="20"/>
          <w:szCs w:val="20"/>
          <w:color w:val="auto"/>
        </w:rPr>
      </w:pPr>
    </w:p>
    <w:p>
      <w:pPr>
        <w:jc w:val="both"/>
        <w:ind w:left="5" w:right="20"/>
        <w:spacing w:after="0" w:line="241" w:lineRule="auto"/>
        <w:rPr>
          <w:sz w:val="20"/>
          <w:szCs w:val="20"/>
          <w:color w:val="auto"/>
        </w:rPr>
      </w:pPr>
      <w:r>
        <w:rPr>
          <w:rFonts w:ascii="Arial" w:cs="Arial" w:eastAsia="Arial" w:hAnsi="Arial"/>
          <w:sz w:val="13"/>
          <w:szCs w:val="13"/>
          <w:color w:val="auto"/>
        </w:rPr>
        <w:t>The information contained in this Item 2.02 of this Current Report, and in Exhibits 99.1 and 99.2 hereto, shall not be deemed “filed” for purposes of Section 18 of the Securities Exchange Act of 1934, as amended (the “Exchange Act”), or otherwise subject to the liabilities of that section, nor shall it be incorporated by reference into any filing under the Securities Act of 1933, as amended (the “Securities Act”), or the Exchange Act, except as expressly set forth by specific reference in such filing.</w:t>
      </w:r>
    </w:p>
    <w:p>
      <w:pPr>
        <w:spacing w:after="0" w:line="200" w:lineRule="exact"/>
        <w:rPr>
          <w:sz w:val="20"/>
          <w:szCs w:val="20"/>
          <w:color w:val="auto"/>
        </w:rPr>
      </w:pPr>
    </w:p>
    <w:p>
      <w:pPr>
        <w:ind w:left="5"/>
        <w:spacing w:after="0"/>
        <w:rPr>
          <w:sz w:val="20"/>
          <w:szCs w:val="20"/>
          <w:color w:val="auto"/>
        </w:rPr>
      </w:pPr>
      <w:r>
        <w:rPr>
          <w:rFonts w:ascii="Arial" w:cs="Arial" w:eastAsia="Arial" w:hAnsi="Arial"/>
          <w:sz w:val="13"/>
          <w:szCs w:val="13"/>
          <w:b w:val="1"/>
          <w:bCs w:val="1"/>
          <w:color w:val="auto"/>
        </w:rPr>
        <w:t>Item 5.07.  Submission of Matters to a Vote of Security Holders.</w:t>
      </w:r>
    </w:p>
    <w:p>
      <w:pPr>
        <w:spacing w:after="0" w:line="87" w:lineRule="exact"/>
        <w:rPr>
          <w:sz w:val="20"/>
          <w:szCs w:val="20"/>
          <w:color w:val="auto"/>
        </w:rPr>
      </w:pPr>
    </w:p>
    <w:p>
      <w:pPr>
        <w:ind w:left="185" w:hanging="185"/>
        <w:spacing w:after="0"/>
        <w:tabs>
          <w:tab w:leader="none" w:pos="185" w:val="left"/>
        </w:tabs>
        <w:numPr>
          <w:ilvl w:val="0"/>
          <w:numId w:val="3"/>
        </w:numPr>
        <w:rPr>
          <w:rFonts w:ascii="Arial" w:cs="Arial" w:eastAsia="Arial" w:hAnsi="Arial"/>
          <w:sz w:val="13"/>
          <w:szCs w:val="13"/>
          <w:color w:val="auto"/>
        </w:rPr>
      </w:pPr>
      <w:r>
        <w:rPr>
          <w:rFonts w:ascii="Arial" w:cs="Arial" w:eastAsia="Arial" w:hAnsi="Arial"/>
          <w:sz w:val="13"/>
          <w:szCs w:val="13"/>
          <w:color w:val="auto"/>
        </w:rPr>
        <w:t>On October 27, 2026, the Company held its 2026 Annual Meeting of Shareholders (the “Annual Meeting”).</w:t>
      </w:r>
    </w:p>
    <w:p>
      <w:pPr>
        <w:spacing w:after="0" w:line="87" w:lineRule="exact"/>
        <w:rPr>
          <w:rFonts w:ascii="Arial" w:cs="Arial" w:eastAsia="Arial" w:hAnsi="Arial"/>
          <w:sz w:val="13"/>
          <w:szCs w:val="13"/>
          <w:color w:val="auto"/>
        </w:rPr>
      </w:pPr>
    </w:p>
    <w:p>
      <w:pPr>
        <w:jc w:val="both"/>
        <w:ind w:left="5" w:hanging="5"/>
        <w:spacing w:after="0" w:line="237" w:lineRule="auto"/>
        <w:tabs>
          <w:tab w:leader="none" w:pos="200" w:val="left"/>
        </w:tabs>
        <w:numPr>
          <w:ilvl w:val="0"/>
          <w:numId w:val="3"/>
        </w:numPr>
        <w:rPr>
          <w:rFonts w:ascii="Arial" w:cs="Arial" w:eastAsia="Arial" w:hAnsi="Arial"/>
          <w:sz w:val="13"/>
          <w:szCs w:val="13"/>
          <w:color w:val="auto"/>
        </w:rPr>
      </w:pPr>
      <w:r>
        <w:rPr>
          <w:rFonts w:ascii="Arial" w:cs="Arial" w:eastAsia="Arial" w:hAnsi="Arial"/>
          <w:sz w:val="13"/>
          <w:szCs w:val="13"/>
          <w:color w:val="auto"/>
        </w:rPr>
        <w:t>At the Annual Meeting, the Company’s shareholders (i) elected all eight of the Company’s nominees for director to serve until their terms expire at the 2027 Annual Meeting of Shareholders or until their successors are duly elected and qualified; (ii) approved, on an advisory basis, the Company’s named executive officer compensation in fiscal 2026; and (iii) ratified the appointment of KPMG LLP to serve as the Company’s independent registered public accounting firm for fiscal 2027. Each of these proposals is further described in the Company’s definitive proxy statement on Schedule 14A filed with the United States Securities and Exchange Commission on September 11, 2026.</w:t>
      </w:r>
    </w:p>
    <w:p>
      <w:pPr>
        <w:spacing w:after="0" w:line="72" w:lineRule="exact"/>
        <w:rPr>
          <w:sz w:val="20"/>
          <w:szCs w:val="20"/>
          <w:color w:val="auto"/>
        </w:rPr>
      </w:pPr>
    </w:p>
    <w:p>
      <w:pPr>
        <w:ind w:left="5"/>
        <w:spacing w:after="0"/>
        <w:rPr>
          <w:sz w:val="20"/>
          <w:szCs w:val="20"/>
          <w:color w:val="auto"/>
        </w:rPr>
      </w:pPr>
      <w:r>
        <w:rPr>
          <w:rFonts w:ascii="Arial" w:cs="Arial" w:eastAsia="Arial" w:hAnsi="Arial"/>
          <w:sz w:val="13"/>
          <w:szCs w:val="13"/>
          <w:color w:val="auto"/>
        </w:rPr>
        <w:t>The final voting results of each of the proposals submitted to the Company’s shareholders at the Annual Meeting are as follows:</w:t>
      </w:r>
    </w:p>
    <w:p>
      <w:pPr>
        <w:spacing w:after="0" w:line="87" w:lineRule="exact"/>
        <w:rPr>
          <w:sz w:val="20"/>
          <w:szCs w:val="20"/>
          <w:color w:val="auto"/>
        </w:rPr>
      </w:pPr>
    </w:p>
    <w:p>
      <w:pPr>
        <w:ind w:left="1025" w:hanging="516"/>
        <w:spacing w:after="0"/>
        <w:tabs>
          <w:tab w:leader="none" w:pos="1025" w:val="left"/>
        </w:tabs>
        <w:numPr>
          <w:ilvl w:val="0"/>
          <w:numId w:val="4"/>
        </w:numPr>
        <w:rPr>
          <w:rFonts w:ascii="Arial" w:cs="Arial" w:eastAsia="Arial" w:hAnsi="Arial"/>
          <w:sz w:val="13"/>
          <w:szCs w:val="13"/>
          <w:b w:val="1"/>
          <w:bCs w:val="1"/>
          <w:color w:val="auto"/>
        </w:rPr>
      </w:pPr>
      <w:r>
        <w:rPr>
          <w:rFonts w:ascii="Arial" w:cs="Arial" w:eastAsia="Arial" w:hAnsi="Arial"/>
          <w:sz w:val="13"/>
          <w:szCs w:val="13"/>
          <w:b w:val="1"/>
          <w:bCs w:val="1"/>
          <w:color w:val="auto"/>
        </w:rPr>
        <w:t>Election of directors:</w:t>
      </w:r>
    </w:p>
    <w:p>
      <w:pPr>
        <w:spacing w:after="0" w:line="127"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3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rPr>
              <w:t>Votes</w:t>
            </w:r>
          </w:p>
        </w:tc>
        <w:tc>
          <w:tcPr>
            <w:tcW w:w="360" w:type="dxa"/>
            <w:vAlign w:val="bottom"/>
          </w:tcPr>
          <w:p>
            <w:pPr>
              <w:spacing w:after="0"/>
              <w:rPr>
                <w:sz w:val="12"/>
                <w:szCs w:val="12"/>
                <w:color w:val="auto"/>
              </w:rPr>
            </w:pPr>
          </w:p>
        </w:tc>
        <w:tc>
          <w:tcPr>
            <w:tcW w:w="1720" w:type="dxa"/>
            <w:vAlign w:val="bottom"/>
          </w:tcPr>
          <w:p>
            <w:pPr>
              <w:jc w:val="center"/>
              <w:spacing w:after="0"/>
              <w:rPr>
                <w:sz w:val="20"/>
                <w:szCs w:val="20"/>
                <w:color w:val="auto"/>
              </w:rPr>
            </w:pPr>
            <w:r>
              <w:rPr>
                <w:rFonts w:ascii="Arial" w:cs="Arial" w:eastAsia="Arial" w:hAnsi="Arial"/>
                <w:sz w:val="13"/>
                <w:szCs w:val="13"/>
                <w:b w:val="1"/>
                <w:bCs w:val="1"/>
                <w:color w:val="auto"/>
              </w:rPr>
              <w:t>Votes</w:t>
            </w:r>
          </w:p>
        </w:tc>
        <w:tc>
          <w:tcPr>
            <w:tcW w:w="3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40" w:type="dxa"/>
            <w:vAlign w:val="bottom"/>
          </w:tcPr>
          <w:p>
            <w:pPr>
              <w:jc w:val="center"/>
              <w:spacing w:after="0"/>
              <w:rPr>
                <w:sz w:val="20"/>
                <w:szCs w:val="20"/>
                <w:color w:val="auto"/>
              </w:rPr>
            </w:pPr>
            <w:r>
              <w:rPr>
                <w:rFonts w:ascii="Arial" w:cs="Arial" w:eastAsia="Arial" w:hAnsi="Arial"/>
                <w:sz w:val="13"/>
                <w:szCs w:val="13"/>
                <w:b w:val="1"/>
                <w:bCs w:val="1"/>
                <w:color w:val="auto"/>
                <w:w w:val="95"/>
              </w:rPr>
              <w:t>Broker</w:t>
            </w:r>
          </w:p>
        </w:tc>
      </w:tr>
      <w:tr>
        <w:trPr>
          <w:trHeight w:val="150"/>
        </w:trPr>
        <w:tc>
          <w:tcPr>
            <w:tcW w:w="31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Nominee</w:t>
            </w:r>
          </w:p>
        </w:tc>
        <w:tc>
          <w:tcPr>
            <w:tcW w:w="360" w:type="dxa"/>
            <w:vAlign w:val="bottom"/>
          </w:tcPr>
          <w:p>
            <w:pPr>
              <w:spacing w:after="0"/>
              <w:rPr>
                <w:sz w:val="13"/>
                <w:szCs w:val="13"/>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For</w:t>
            </w:r>
          </w:p>
        </w:tc>
        <w:tc>
          <w:tcPr>
            <w:tcW w:w="360" w:type="dxa"/>
            <w:vAlign w:val="bottom"/>
          </w:tcPr>
          <w:p>
            <w:pPr>
              <w:spacing w:after="0"/>
              <w:rPr>
                <w:sz w:val="13"/>
                <w:szCs w:val="13"/>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Against</w:t>
            </w:r>
          </w:p>
        </w:tc>
        <w:tc>
          <w:tcPr>
            <w:tcW w:w="360" w:type="dxa"/>
            <w:vAlign w:val="bottom"/>
          </w:tcPr>
          <w:p>
            <w:pPr>
              <w:spacing w:after="0"/>
              <w:rPr>
                <w:sz w:val="13"/>
                <w:szCs w:val="13"/>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Abstentions</w:t>
            </w:r>
          </w:p>
        </w:tc>
        <w:tc>
          <w:tcPr>
            <w:tcW w:w="340" w:type="dxa"/>
            <w:vAlign w:val="bottom"/>
          </w:tcPr>
          <w:p>
            <w:pPr>
              <w:spacing w:after="0"/>
              <w:rPr>
                <w:sz w:val="13"/>
                <w:szCs w:val="13"/>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Non-Votes</w:t>
            </w:r>
          </w:p>
        </w:tc>
      </w:tr>
      <w:tr>
        <w:trPr>
          <w:trHeight w:val="126"/>
        </w:trPr>
        <w:tc>
          <w:tcPr>
            <w:tcW w:w="3120" w:type="dxa"/>
            <w:vAlign w:val="bottom"/>
          </w:tcPr>
          <w:p>
            <w:pPr>
              <w:ind w:left="80"/>
              <w:spacing w:after="0" w:line="126" w:lineRule="exact"/>
              <w:rPr>
                <w:sz w:val="20"/>
                <w:szCs w:val="20"/>
                <w:color w:val="auto"/>
              </w:rPr>
            </w:pPr>
            <w:r>
              <w:rPr>
                <w:rFonts w:ascii="Arial" w:cs="Arial" w:eastAsia="Arial" w:hAnsi="Arial"/>
                <w:sz w:val="13"/>
                <w:szCs w:val="13"/>
                <w:color w:val="auto"/>
              </w:rPr>
              <w:t>Emma S. Battle</w:t>
            </w:r>
          </w:p>
        </w:tc>
        <w:tc>
          <w:tcPr>
            <w:tcW w:w="360" w:type="dxa"/>
            <w:vAlign w:val="bottom"/>
          </w:tcPr>
          <w:p>
            <w:pPr>
              <w:spacing w:after="0"/>
              <w:rPr>
                <w:sz w:val="10"/>
                <w:szCs w:val="10"/>
                <w:color w:val="auto"/>
              </w:rPr>
            </w:pPr>
          </w:p>
        </w:tc>
        <w:tc>
          <w:tcPr>
            <w:tcW w:w="1640" w:type="dxa"/>
            <w:vAlign w:val="bottom"/>
          </w:tcPr>
          <w:p>
            <w:pPr>
              <w:jc w:val="center"/>
              <w:spacing w:after="0" w:line="126" w:lineRule="exact"/>
              <w:rPr>
                <w:sz w:val="20"/>
                <w:szCs w:val="20"/>
                <w:color w:val="auto"/>
              </w:rPr>
            </w:pPr>
            <w:r>
              <w:rPr>
                <w:rFonts w:ascii="Arial" w:cs="Arial" w:eastAsia="Arial" w:hAnsi="Arial"/>
                <w:sz w:val="13"/>
                <w:szCs w:val="13"/>
                <w:color w:val="auto"/>
                <w:w w:val="96"/>
              </w:rPr>
              <w:t>7,705,907</w:t>
            </w:r>
          </w:p>
        </w:tc>
        <w:tc>
          <w:tcPr>
            <w:tcW w:w="360" w:type="dxa"/>
            <w:vAlign w:val="bottom"/>
          </w:tcPr>
          <w:p>
            <w:pPr>
              <w:spacing w:after="0"/>
              <w:rPr>
                <w:sz w:val="10"/>
                <w:szCs w:val="10"/>
                <w:color w:val="auto"/>
              </w:rPr>
            </w:pPr>
          </w:p>
        </w:tc>
        <w:tc>
          <w:tcPr>
            <w:tcW w:w="1720" w:type="dxa"/>
            <w:vAlign w:val="bottom"/>
          </w:tcPr>
          <w:p>
            <w:pPr>
              <w:jc w:val="center"/>
              <w:spacing w:after="0" w:line="126" w:lineRule="exact"/>
              <w:rPr>
                <w:sz w:val="20"/>
                <w:szCs w:val="20"/>
                <w:color w:val="auto"/>
              </w:rPr>
            </w:pPr>
            <w:r>
              <w:rPr>
                <w:rFonts w:ascii="Arial" w:cs="Arial" w:eastAsia="Arial" w:hAnsi="Arial"/>
                <w:sz w:val="13"/>
                <w:szCs w:val="13"/>
                <w:color w:val="auto"/>
                <w:w w:val="93"/>
              </w:rPr>
              <w:t>388,063</w:t>
            </w:r>
          </w:p>
        </w:tc>
        <w:tc>
          <w:tcPr>
            <w:tcW w:w="360" w:type="dxa"/>
            <w:vAlign w:val="bottom"/>
          </w:tcPr>
          <w:p>
            <w:pPr>
              <w:spacing w:after="0"/>
              <w:rPr>
                <w:sz w:val="10"/>
                <w:szCs w:val="10"/>
                <w:color w:val="auto"/>
              </w:rPr>
            </w:pPr>
          </w:p>
        </w:tc>
        <w:tc>
          <w:tcPr>
            <w:tcW w:w="1620" w:type="dxa"/>
            <w:vAlign w:val="bottom"/>
          </w:tcPr>
          <w:p>
            <w:pPr>
              <w:jc w:val="center"/>
              <w:spacing w:after="0" w:line="126" w:lineRule="exact"/>
              <w:rPr>
                <w:sz w:val="20"/>
                <w:szCs w:val="20"/>
                <w:color w:val="auto"/>
              </w:rPr>
            </w:pPr>
            <w:r>
              <w:rPr>
                <w:rFonts w:ascii="Arial" w:cs="Arial" w:eastAsia="Arial" w:hAnsi="Arial"/>
                <w:sz w:val="13"/>
                <w:szCs w:val="13"/>
                <w:color w:val="auto"/>
              </w:rPr>
              <w:t>40,944</w:t>
            </w:r>
          </w:p>
        </w:tc>
        <w:tc>
          <w:tcPr>
            <w:tcW w:w="340" w:type="dxa"/>
            <w:vAlign w:val="bottom"/>
          </w:tcPr>
          <w:p>
            <w:pPr>
              <w:spacing w:after="0"/>
              <w:rPr>
                <w:sz w:val="10"/>
                <w:szCs w:val="10"/>
                <w:color w:val="auto"/>
              </w:rPr>
            </w:pPr>
          </w:p>
        </w:tc>
        <w:tc>
          <w:tcPr>
            <w:tcW w:w="1740" w:type="dxa"/>
            <w:vAlign w:val="bottom"/>
          </w:tcPr>
          <w:p>
            <w:pPr>
              <w:jc w:val="center"/>
              <w:spacing w:after="0" w:line="126" w:lineRule="exact"/>
              <w:rPr>
                <w:sz w:val="20"/>
                <w:szCs w:val="20"/>
                <w:color w:val="auto"/>
              </w:rPr>
            </w:pPr>
            <w:r>
              <w:rPr>
                <w:rFonts w:ascii="Arial" w:cs="Arial" w:eastAsia="Arial" w:hAnsi="Arial"/>
                <w:sz w:val="13"/>
                <w:szCs w:val="13"/>
                <w:color w:val="auto"/>
                <w:w w:val="96"/>
              </w:rPr>
              <w:t>3,618,390</w:t>
            </w:r>
          </w:p>
        </w:tc>
      </w:tr>
      <w:tr>
        <w:trPr>
          <w:trHeight w:val="142"/>
        </w:trPr>
        <w:tc>
          <w:tcPr>
            <w:tcW w:w="3120" w:type="dxa"/>
            <w:vAlign w:val="bottom"/>
          </w:tcPr>
          <w:p>
            <w:pPr>
              <w:ind w:left="80"/>
              <w:spacing w:after="0" w:line="142" w:lineRule="exact"/>
              <w:rPr>
                <w:sz w:val="20"/>
                <w:szCs w:val="20"/>
                <w:color w:val="auto"/>
              </w:rPr>
            </w:pPr>
            <w:r>
              <w:rPr>
                <w:rFonts w:ascii="Arial" w:cs="Arial" w:eastAsia="Arial" w:hAnsi="Arial"/>
                <w:sz w:val="13"/>
                <w:szCs w:val="13"/>
                <w:color w:val="auto"/>
              </w:rPr>
              <w:t>Francis S. Blake</w:t>
            </w:r>
          </w:p>
        </w:tc>
        <w:tc>
          <w:tcPr>
            <w:tcW w:w="2000" w:type="dxa"/>
            <w:vAlign w:val="bottom"/>
            <w:gridSpan w:val="2"/>
          </w:tcPr>
          <w:p>
            <w:pPr>
              <w:jc w:val="center"/>
              <w:ind w:left="297"/>
              <w:spacing w:after="0" w:line="142" w:lineRule="exact"/>
              <w:rPr>
                <w:sz w:val="20"/>
                <w:szCs w:val="20"/>
                <w:color w:val="auto"/>
              </w:rPr>
            </w:pPr>
            <w:r>
              <w:rPr>
                <w:rFonts w:ascii="Arial" w:cs="Arial" w:eastAsia="Arial" w:hAnsi="Arial"/>
                <w:sz w:val="13"/>
                <w:szCs w:val="13"/>
                <w:color w:val="auto"/>
                <w:w w:val="96"/>
              </w:rPr>
              <w:t>7,726,059</w:t>
            </w:r>
          </w:p>
        </w:tc>
        <w:tc>
          <w:tcPr>
            <w:tcW w:w="2080" w:type="dxa"/>
            <w:vAlign w:val="bottom"/>
            <w:gridSpan w:val="2"/>
          </w:tcPr>
          <w:p>
            <w:pPr>
              <w:jc w:val="center"/>
              <w:ind w:left="297"/>
              <w:spacing w:after="0" w:line="142" w:lineRule="exact"/>
              <w:rPr>
                <w:sz w:val="20"/>
                <w:szCs w:val="20"/>
                <w:color w:val="auto"/>
              </w:rPr>
            </w:pPr>
            <w:r>
              <w:rPr>
                <w:rFonts w:ascii="Arial" w:cs="Arial" w:eastAsia="Arial" w:hAnsi="Arial"/>
                <w:sz w:val="13"/>
                <w:szCs w:val="13"/>
                <w:color w:val="auto"/>
                <w:w w:val="93"/>
              </w:rPr>
              <w:t>367,650</w:t>
            </w:r>
          </w:p>
        </w:tc>
        <w:tc>
          <w:tcPr>
            <w:tcW w:w="1980" w:type="dxa"/>
            <w:vAlign w:val="bottom"/>
            <w:gridSpan w:val="2"/>
          </w:tcPr>
          <w:p>
            <w:pPr>
              <w:jc w:val="center"/>
              <w:ind w:left="277"/>
              <w:spacing w:after="0" w:line="142" w:lineRule="exact"/>
              <w:rPr>
                <w:sz w:val="20"/>
                <w:szCs w:val="20"/>
                <w:color w:val="auto"/>
              </w:rPr>
            </w:pPr>
            <w:r>
              <w:rPr>
                <w:rFonts w:ascii="Arial" w:cs="Arial" w:eastAsia="Arial" w:hAnsi="Arial"/>
                <w:sz w:val="13"/>
                <w:szCs w:val="13"/>
                <w:color w:val="auto"/>
              </w:rPr>
              <w:t>41,205</w:t>
            </w:r>
          </w:p>
        </w:tc>
        <w:tc>
          <w:tcPr>
            <w:tcW w:w="2080" w:type="dxa"/>
            <w:vAlign w:val="bottom"/>
            <w:gridSpan w:val="2"/>
          </w:tcPr>
          <w:p>
            <w:pPr>
              <w:jc w:val="center"/>
              <w:ind w:left="257"/>
              <w:spacing w:after="0" w:line="142" w:lineRule="exact"/>
              <w:rPr>
                <w:sz w:val="20"/>
                <w:szCs w:val="20"/>
                <w:color w:val="auto"/>
              </w:rPr>
            </w:pPr>
            <w:r>
              <w:rPr>
                <w:rFonts w:ascii="Arial" w:cs="Arial" w:eastAsia="Arial" w:hAnsi="Arial"/>
                <w:sz w:val="13"/>
                <w:szCs w:val="13"/>
                <w:color w:val="auto"/>
                <w:w w:val="96"/>
              </w:rPr>
              <w:t>3,618,390</w:t>
            </w:r>
          </w:p>
        </w:tc>
      </w:tr>
      <w:tr>
        <w:trPr>
          <w:trHeight w:val="142"/>
        </w:trPr>
        <w:tc>
          <w:tcPr>
            <w:tcW w:w="3120" w:type="dxa"/>
            <w:vAlign w:val="bottom"/>
          </w:tcPr>
          <w:p>
            <w:pPr>
              <w:ind w:left="80"/>
              <w:spacing w:after="0" w:line="142" w:lineRule="exact"/>
              <w:rPr>
                <w:sz w:val="20"/>
                <w:szCs w:val="20"/>
                <w:color w:val="auto"/>
              </w:rPr>
            </w:pPr>
            <w:r>
              <w:rPr>
                <w:rFonts w:ascii="Arial" w:cs="Arial" w:eastAsia="Arial" w:hAnsi="Arial"/>
                <w:sz w:val="13"/>
                <w:szCs w:val="13"/>
                <w:color w:val="auto"/>
              </w:rPr>
              <w:t>Albert P. Carey</w:t>
            </w:r>
          </w:p>
        </w:tc>
        <w:tc>
          <w:tcPr>
            <w:tcW w:w="2000" w:type="dxa"/>
            <w:vAlign w:val="bottom"/>
            <w:gridSpan w:val="2"/>
          </w:tcPr>
          <w:p>
            <w:pPr>
              <w:jc w:val="center"/>
              <w:ind w:left="297"/>
              <w:spacing w:after="0" w:line="142" w:lineRule="exact"/>
              <w:rPr>
                <w:sz w:val="20"/>
                <w:szCs w:val="20"/>
                <w:color w:val="auto"/>
              </w:rPr>
            </w:pPr>
            <w:r>
              <w:rPr>
                <w:rFonts w:ascii="Arial" w:cs="Arial" w:eastAsia="Arial" w:hAnsi="Arial"/>
                <w:sz w:val="13"/>
                <w:szCs w:val="13"/>
                <w:color w:val="auto"/>
                <w:w w:val="96"/>
              </w:rPr>
              <w:t>7,661,849</w:t>
            </w:r>
          </w:p>
        </w:tc>
        <w:tc>
          <w:tcPr>
            <w:tcW w:w="2080" w:type="dxa"/>
            <w:vAlign w:val="bottom"/>
            <w:gridSpan w:val="2"/>
          </w:tcPr>
          <w:p>
            <w:pPr>
              <w:jc w:val="center"/>
              <w:ind w:left="297"/>
              <w:spacing w:after="0" w:line="142" w:lineRule="exact"/>
              <w:rPr>
                <w:sz w:val="20"/>
                <w:szCs w:val="20"/>
                <w:color w:val="auto"/>
              </w:rPr>
            </w:pPr>
            <w:r>
              <w:rPr>
                <w:rFonts w:ascii="Arial" w:cs="Arial" w:eastAsia="Arial" w:hAnsi="Arial"/>
                <w:sz w:val="13"/>
                <w:szCs w:val="13"/>
                <w:color w:val="auto"/>
                <w:w w:val="93"/>
              </w:rPr>
              <w:t>431,913</w:t>
            </w:r>
          </w:p>
        </w:tc>
        <w:tc>
          <w:tcPr>
            <w:tcW w:w="1980" w:type="dxa"/>
            <w:vAlign w:val="bottom"/>
            <w:gridSpan w:val="2"/>
          </w:tcPr>
          <w:p>
            <w:pPr>
              <w:jc w:val="center"/>
              <w:ind w:left="277"/>
              <w:spacing w:after="0" w:line="142" w:lineRule="exact"/>
              <w:rPr>
                <w:sz w:val="20"/>
                <w:szCs w:val="20"/>
                <w:color w:val="auto"/>
              </w:rPr>
            </w:pPr>
            <w:r>
              <w:rPr>
                <w:rFonts w:ascii="Arial" w:cs="Arial" w:eastAsia="Arial" w:hAnsi="Arial"/>
                <w:sz w:val="13"/>
                <w:szCs w:val="13"/>
                <w:color w:val="auto"/>
              </w:rPr>
              <w:t>41,152</w:t>
            </w:r>
          </w:p>
        </w:tc>
        <w:tc>
          <w:tcPr>
            <w:tcW w:w="2080" w:type="dxa"/>
            <w:vAlign w:val="bottom"/>
            <w:gridSpan w:val="2"/>
          </w:tcPr>
          <w:p>
            <w:pPr>
              <w:jc w:val="center"/>
              <w:ind w:left="257"/>
              <w:spacing w:after="0" w:line="142" w:lineRule="exact"/>
              <w:rPr>
                <w:sz w:val="20"/>
                <w:szCs w:val="20"/>
                <w:color w:val="auto"/>
              </w:rPr>
            </w:pPr>
            <w:r>
              <w:rPr>
                <w:rFonts w:ascii="Arial" w:cs="Arial" w:eastAsia="Arial" w:hAnsi="Arial"/>
                <w:sz w:val="13"/>
                <w:szCs w:val="13"/>
                <w:color w:val="auto"/>
                <w:w w:val="96"/>
              </w:rPr>
              <w:t>3,618,390</w:t>
            </w:r>
          </w:p>
        </w:tc>
      </w:tr>
      <w:tr>
        <w:trPr>
          <w:trHeight w:val="142"/>
        </w:trPr>
        <w:tc>
          <w:tcPr>
            <w:tcW w:w="3120" w:type="dxa"/>
            <w:vAlign w:val="bottom"/>
          </w:tcPr>
          <w:p>
            <w:pPr>
              <w:ind w:left="80"/>
              <w:spacing w:after="0" w:line="142" w:lineRule="exact"/>
              <w:rPr>
                <w:sz w:val="20"/>
                <w:szCs w:val="20"/>
                <w:color w:val="auto"/>
              </w:rPr>
            </w:pPr>
            <w:r>
              <w:rPr>
                <w:rFonts w:ascii="Arial" w:cs="Arial" w:eastAsia="Arial" w:hAnsi="Arial"/>
                <w:sz w:val="13"/>
                <w:szCs w:val="13"/>
                <w:color w:val="auto"/>
              </w:rPr>
              <w:t>Edmund M. Ingle</w:t>
            </w:r>
          </w:p>
        </w:tc>
        <w:tc>
          <w:tcPr>
            <w:tcW w:w="2000" w:type="dxa"/>
            <w:vAlign w:val="bottom"/>
            <w:gridSpan w:val="2"/>
          </w:tcPr>
          <w:p>
            <w:pPr>
              <w:jc w:val="center"/>
              <w:ind w:left="297"/>
              <w:spacing w:after="0" w:line="142" w:lineRule="exact"/>
              <w:rPr>
                <w:sz w:val="20"/>
                <w:szCs w:val="20"/>
                <w:color w:val="auto"/>
              </w:rPr>
            </w:pPr>
            <w:r>
              <w:rPr>
                <w:rFonts w:ascii="Arial" w:cs="Arial" w:eastAsia="Arial" w:hAnsi="Arial"/>
                <w:sz w:val="13"/>
                <w:szCs w:val="13"/>
                <w:color w:val="auto"/>
                <w:w w:val="96"/>
              </w:rPr>
              <w:t>7,710,880</w:t>
            </w:r>
          </w:p>
        </w:tc>
        <w:tc>
          <w:tcPr>
            <w:tcW w:w="2080" w:type="dxa"/>
            <w:vAlign w:val="bottom"/>
            <w:gridSpan w:val="2"/>
          </w:tcPr>
          <w:p>
            <w:pPr>
              <w:jc w:val="center"/>
              <w:ind w:left="297"/>
              <w:spacing w:after="0" w:line="142" w:lineRule="exact"/>
              <w:rPr>
                <w:sz w:val="20"/>
                <w:szCs w:val="20"/>
                <w:color w:val="auto"/>
              </w:rPr>
            </w:pPr>
            <w:r>
              <w:rPr>
                <w:rFonts w:ascii="Arial" w:cs="Arial" w:eastAsia="Arial" w:hAnsi="Arial"/>
                <w:sz w:val="13"/>
                <w:szCs w:val="13"/>
                <w:color w:val="auto"/>
                <w:w w:val="93"/>
              </w:rPr>
              <w:t>382,788</w:t>
            </w:r>
          </w:p>
        </w:tc>
        <w:tc>
          <w:tcPr>
            <w:tcW w:w="1980" w:type="dxa"/>
            <w:vAlign w:val="bottom"/>
            <w:gridSpan w:val="2"/>
          </w:tcPr>
          <w:p>
            <w:pPr>
              <w:jc w:val="center"/>
              <w:ind w:left="277"/>
              <w:spacing w:after="0" w:line="142" w:lineRule="exact"/>
              <w:rPr>
                <w:sz w:val="20"/>
                <w:szCs w:val="20"/>
                <w:color w:val="auto"/>
              </w:rPr>
            </w:pPr>
            <w:r>
              <w:rPr>
                <w:rFonts w:ascii="Arial" w:cs="Arial" w:eastAsia="Arial" w:hAnsi="Arial"/>
                <w:sz w:val="13"/>
                <w:szCs w:val="13"/>
                <w:color w:val="auto"/>
              </w:rPr>
              <w:t>41,246</w:t>
            </w:r>
          </w:p>
        </w:tc>
        <w:tc>
          <w:tcPr>
            <w:tcW w:w="2080" w:type="dxa"/>
            <w:vAlign w:val="bottom"/>
            <w:gridSpan w:val="2"/>
          </w:tcPr>
          <w:p>
            <w:pPr>
              <w:jc w:val="center"/>
              <w:ind w:left="257"/>
              <w:spacing w:after="0" w:line="142" w:lineRule="exact"/>
              <w:rPr>
                <w:sz w:val="20"/>
                <w:szCs w:val="20"/>
                <w:color w:val="auto"/>
              </w:rPr>
            </w:pPr>
            <w:r>
              <w:rPr>
                <w:rFonts w:ascii="Arial" w:cs="Arial" w:eastAsia="Arial" w:hAnsi="Arial"/>
                <w:sz w:val="13"/>
                <w:szCs w:val="13"/>
                <w:color w:val="auto"/>
                <w:w w:val="96"/>
              </w:rPr>
              <w:t>3,618,390</w:t>
            </w:r>
          </w:p>
        </w:tc>
      </w:tr>
      <w:tr>
        <w:trPr>
          <w:trHeight w:val="142"/>
        </w:trPr>
        <w:tc>
          <w:tcPr>
            <w:tcW w:w="3120" w:type="dxa"/>
            <w:vAlign w:val="bottom"/>
          </w:tcPr>
          <w:p>
            <w:pPr>
              <w:ind w:left="80"/>
              <w:spacing w:after="0" w:line="142" w:lineRule="exact"/>
              <w:rPr>
                <w:sz w:val="20"/>
                <w:szCs w:val="20"/>
                <w:color w:val="auto"/>
              </w:rPr>
            </w:pPr>
            <w:r>
              <w:rPr>
                <w:rFonts w:ascii="Arial" w:cs="Arial" w:eastAsia="Arial" w:hAnsi="Arial"/>
                <w:sz w:val="13"/>
                <w:szCs w:val="13"/>
                <w:color w:val="auto"/>
              </w:rPr>
              <w:t>Kenneth G. Langone</w:t>
            </w:r>
          </w:p>
        </w:tc>
        <w:tc>
          <w:tcPr>
            <w:tcW w:w="2000" w:type="dxa"/>
            <w:vAlign w:val="bottom"/>
            <w:gridSpan w:val="2"/>
          </w:tcPr>
          <w:p>
            <w:pPr>
              <w:jc w:val="center"/>
              <w:ind w:left="297"/>
              <w:spacing w:after="0" w:line="142" w:lineRule="exact"/>
              <w:rPr>
                <w:sz w:val="20"/>
                <w:szCs w:val="20"/>
                <w:color w:val="auto"/>
              </w:rPr>
            </w:pPr>
            <w:r>
              <w:rPr>
                <w:rFonts w:ascii="Arial" w:cs="Arial" w:eastAsia="Arial" w:hAnsi="Arial"/>
                <w:sz w:val="13"/>
                <w:szCs w:val="13"/>
                <w:color w:val="auto"/>
                <w:w w:val="96"/>
              </w:rPr>
              <w:t>7,980,870</w:t>
            </w:r>
          </w:p>
        </w:tc>
        <w:tc>
          <w:tcPr>
            <w:tcW w:w="2080" w:type="dxa"/>
            <w:vAlign w:val="bottom"/>
            <w:gridSpan w:val="2"/>
          </w:tcPr>
          <w:p>
            <w:pPr>
              <w:jc w:val="center"/>
              <w:ind w:left="297"/>
              <w:spacing w:after="0" w:line="142" w:lineRule="exact"/>
              <w:rPr>
                <w:sz w:val="20"/>
                <w:szCs w:val="20"/>
                <w:color w:val="auto"/>
              </w:rPr>
            </w:pPr>
            <w:r>
              <w:rPr>
                <w:rFonts w:ascii="Arial" w:cs="Arial" w:eastAsia="Arial" w:hAnsi="Arial"/>
                <w:sz w:val="13"/>
                <w:szCs w:val="13"/>
                <w:color w:val="auto"/>
                <w:w w:val="93"/>
              </w:rPr>
              <w:t>112,992</w:t>
            </w:r>
          </w:p>
        </w:tc>
        <w:tc>
          <w:tcPr>
            <w:tcW w:w="1980" w:type="dxa"/>
            <w:vAlign w:val="bottom"/>
            <w:gridSpan w:val="2"/>
          </w:tcPr>
          <w:p>
            <w:pPr>
              <w:jc w:val="center"/>
              <w:ind w:left="277"/>
              <w:spacing w:after="0" w:line="142" w:lineRule="exact"/>
              <w:rPr>
                <w:sz w:val="20"/>
                <w:szCs w:val="20"/>
                <w:color w:val="auto"/>
              </w:rPr>
            </w:pPr>
            <w:r>
              <w:rPr>
                <w:rFonts w:ascii="Arial" w:cs="Arial" w:eastAsia="Arial" w:hAnsi="Arial"/>
                <w:sz w:val="13"/>
                <w:szCs w:val="13"/>
                <w:color w:val="auto"/>
              </w:rPr>
              <w:t>41,052</w:t>
            </w:r>
          </w:p>
        </w:tc>
        <w:tc>
          <w:tcPr>
            <w:tcW w:w="2080" w:type="dxa"/>
            <w:vAlign w:val="bottom"/>
            <w:gridSpan w:val="2"/>
          </w:tcPr>
          <w:p>
            <w:pPr>
              <w:jc w:val="center"/>
              <w:ind w:left="257"/>
              <w:spacing w:after="0" w:line="142" w:lineRule="exact"/>
              <w:rPr>
                <w:sz w:val="20"/>
                <w:szCs w:val="20"/>
                <w:color w:val="auto"/>
              </w:rPr>
            </w:pPr>
            <w:r>
              <w:rPr>
                <w:rFonts w:ascii="Arial" w:cs="Arial" w:eastAsia="Arial" w:hAnsi="Arial"/>
                <w:sz w:val="13"/>
                <w:szCs w:val="13"/>
                <w:color w:val="auto"/>
                <w:w w:val="96"/>
              </w:rPr>
              <w:t>3,618,390</w:t>
            </w:r>
          </w:p>
        </w:tc>
      </w:tr>
      <w:tr>
        <w:trPr>
          <w:trHeight w:val="142"/>
        </w:trPr>
        <w:tc>
          <w:tcPr>
            <w:tcW w:w="3120" w:type="dxa"/>
            <w:vAlign w:val="bottom"/>
          </w:tcPr>
          <w:p>
            <w:pPr>
              <w:ind w:left="80"/>
              <w:spacing w:after="0" w:line="142" w:lineRule="exact"/>
              <w:rPr>
                <w:sz w:val="20"/>
                <w:szCs w:val="20"/>
                <w:color w:val="auto"/>
              </w:rPr>
            </w:pPr>
            <w:r>
              <w:rPr>
                <w:rFonts w:ascii="Arial" w:cs="Arial" w:eastAsia="Arial" w:hAnsi="Arial"/>
                <w:sz w:val="13"/>
                <w:szCs w:val="13"/>
                <w:color w:val="auto"/>
              </w:rPr>
              <w:t>Suzanne M. Present</w:t>
            </w:r>
          </w:p>
        </w:tc>
        <w:tc>
          <w:tcPr>
            <w:tcW w:w="2000" w:type="dxa"/>
            <w:vAlign w:val="bottom"/>
            <w:gridSpan w:val="2"/>
          </w:tcPr>
          <w:p>
            <w:pPr>
              <w:jc w:val="center"/>
              <w:ind w:left="297"/>
              <w:spacing w:after="0" w:line="142" w:lineRule="exact"/>
              <w:rPr>
                <w:sz w:val="20"/>
                <w:szCs w:val="20"/>
                <w:color w:val="auto"/>
              </w:rPr>
            </w:pPr>
            <w:r>
              <w:rPr>
                <w:rFonts w:ascii="Arial" w:cs="Arial" w:eastAsia="Arial" w:hAnsi="Arial"/>
                <w:sz w:val="13"/>
                <w:szCs w:val="13"/>
                <w:color w:val="auto"/>
                <w:w w:val="96"/>
              </w:rPr>
              <w:t>7,738,658</w:t>
            </w:r>
          </w:p>
        </w:tc>
        <w:tc>
          <w:tcPr>
            <w:tcW w:w="2080" w:type="dxa"/>
            <w:vAlign w:val="bottom"/>
            <w:gridSpan w:val="2"/>
          </w:tcPr>
          <w:p>
            <w:pPr>
              <w:jc w:val="center"/>
              <w:ind w:left="297"/>
              <w:spacing w:after="0" w:line="142" w:lineRule="exact"/>
              <w:rPr>
                <w:sz w:val="20"/>
                <w:szCs w:val="20"/>
                <w:color w:val="auto"/>
              </w:rPr>
            </w:pPr>
            <w:r>
              <w:rPr>
                <w:rFonts w:ascii="Arial" w:cs="Arial" w:eastAsia="Arial" w:hAnsi="Arial"/>
                <w:sz w:val="13"/>
                <w:szCs w:val="13"/>
                <w:color w:val="auto"/>
                <w:w w:val="93"/>
              </w:rPr>
              <w:t>355,312</w:t>
            </w:r>
          </w:p>
        </w:tc>
        <w:tc>
          <w:tcPr>
            <w:tcW w:w="1980" w:type="dxa"/>
            <w:vAlign w:val="bottom"/>
            <w:gridSpan w:val="2"/>
          </w:tcPr>
          <w:p>
            <w:pPr>
              <w:jc w:val="center"/>
              <w:ind w:left="277"/>
              <w:spacing w:after="0" w:line="142" w:lineRule="exact"/>
              <w:rPr>
                <w:sz w:val="20"/>
                <w:szCs w:val="20"/>
                <w:color w:val="auto"/>
              </w:rPr>
            </w:pPr>
            <w:r>
              <w:rPr>
                <w:rFonts w:ascii="Arial" w:cs="Arial" w:eastAsia="Arial" w:hAnsi="Arial"/>
                <w:sz w:val="13"/>
                <w:szCs w:val="13"/>
                <w:color w:val="auto"/>
              </w:rPr>
              <w:t>40,944</w:t>
            </w:r>
          </w:p>
        </w:tc>
        <w:tc>
          <w:tcPr>
            <w:tcW w:w="2080" w:type="dxa"/>
            <w:vAlign w:val="bottom"/>
            <w:gridSpan w:val="2"/>
          </w:tcPr>
          <w:p>
            <w:pPr>
              <w:jc w:val="center"/>
              <w:ind w:left="257"/>
              <w:spacing w:after="0" w:line="142" w:lineRule="exact"/>
              <w:rPr>
                <w:sz w:val="20"/>
                <w:szCs w:val="20"/>
                <w:color w:val="auto"/>
              </w:rPr>
            </w:pPr>
            <w:r>
              <w:rPr>
                <w:rFonts w:ascii="Arial" w:cs="Arial" w:eastAsia="Arial" w:hAnsi="Arial"/>
                <w:sz w:val="13"/>
                <w:szCs w:val="13"/>
                <w:color w:val="auto"/>
                <w:w w:val="96"/>
              </w:rPr>
              <w:t>3,618,390</w:t>
            </w:r>
          </w:p>
        </w:tc>
      </w:tr>
      <w:tr>
        <w:trPr>
          <w:trHeight w:val="142"/>
        </w:trPr>
        <w:tc>
          <w:tcPr>
            <w:tcW w:w="3120" w:type="dxa"/>
            <w:vAlign w:val="bottom"/>
          </w:tcPr>
          <w:p>
            <w:pPr>
              <w:ind w:left="80"/>
              <w:spacing w:after="0" w:line="142" w:lineRule="exact"/>
              <w:rPr>
                <w:sz w:val="20"/>
                <w:szCs w:val="20"/>
                <w:color w:val="auto"/>
              </w:rPr>
            </w:pPr>
            <w:r>
              <w:rPr>
                <w:rFonts w:ascii="Arial" w:cs="Arial" w:eastAsia="Arial" w:hAnsi="Arial"/>
                <w:sz w:val="13"/>
                <w:szCs w:val="13"/>
                <w:color w:val="auto"/>
              </w:rPr>
              <w:t>Rhonda L. Ramlo</w:t>
            </w:r>
          </w:p>
        </w:tc>
        <w:tc>
          <w:tcPr>
            <w:tcW w:w="2000" w:type="dxa"/>
            <w:vAlign w:val="bottom"/>
            <w:gridSpan w:val="2"/>
          </w:tcPr>
          <w:p>
            <w:pPr>
              <w:jc w:val="center"/>
              <w:ind w:left="297"/>
              <w:spacing w:after="0" w:line="142" w:lineRule="exact"/>
              <w:rPr>
                <w:sz w:val="20"/>
                <w:szCs w:val="20"/>
                <w:color w:val="auto"/>
              </w:rPr>
            </w:pPr>
            <w:r>
              <w:rPr>
                <w:rFonts w:ascii="Arial" w:cs="Arial" w:eastAsia="Arial" w:hAnsi="Arial"/>
                <w:sz w:val="13"/>
                <w:szCs w:val="13"/>
                <w:color w:val="auto"/>
                <w:w w:val="96"/>
              </w:rPr>
              <w:t>6,047,062</w:t>
            </w:r>
          </w:p>
        </w:tc>
        <w:tc>
          <w:tcPr>
            <w:tcW w:w="2080" w:type="dxa"/>
            <w:vAlign w:val="bottom"/>
            <w:gridSpan w:val="2"/>
          </w:tcPr>
          <w:p>
            <w:pPr>
              <w:jc w:val="center"/>
              <w:ind w:left="297"/>
              <w:spacing w:after="0" w:line="142" w:lineRule="exact"/>
              <w:rPr>
                <w:sz w:val="20"/>
                <w:szCs w:val="20"/>
                <w:color w:val="auto"/>
              </w:rPr>
            </w:pPr>
            <w:r>
              <w:rPr>
                <w:rFonts w:ascii="Arial" w:cs="Arial" w:eastAsia="Arial" w:hAnsi="Arial"/>
                <w:sz w:val="13"/>
                <w:szCs w:val="13"/>
                <w:color w:val="auto"/>
                <w:w w:val="96"/>
              </w:rPr>
              <w:t>2,045,575</w:t>
            </w:r>
          </w:p>
        </w:tc>
        <w:tc>
          <w:tcPr>
            <w:tcW w:w="1980" w:type="dxa"/>
            <w:vAlign w:val="bottom"/>
            <w:gridSpan w:val="2"/>
          </w:tcPr>
          <w:p>
            <w:pPr>
              <w:jc w:val="center"/>
              <w:ind w:left="277"/>
              <w:spacing w:after="0" w:line="142" w:lineRule="exact"/>
              <w:rPr>
                <w:sz w:val="20"/>
                <w:szCs w:val="20"/>
                <w:color w:val="auto"/>
              </w:rPr>
            </w:pPr>
            <w:r>
              <w:rPr>
                <w:rFonts w:ascii="Arial" w:cs="Arial" w:eastAsia="Arial" w:hAnsi="Arial"/>
                <w:sz w:val="13"/>
                <w:szCs w:val="13"/>
                <w:color w:val="auto"/>
              </w:rPr>
              <w:t>42,277</w:t>
            </w:r>
          </w:p>
        </w:tc>
        <w:tc>
          <w:tcPr>
            <w:tcW w:w="2080" w:type="dxa"/>
            <w:vAlign w:val="bottom"/>
            <w:gridSpan w:val="2"/>
          </w:tcPr>
          <w:p>
            <w:pPr>
              <w:jc w:val="center"/>
              <w:ind w:left="257"/>
              <w:spacing w:after="0" w:line="142" w:lineRule="exact"/>
              <w:rPr>
                <w:sz w:val="20"/>
                <w:szCs w:val="20"/>
                <w:color w:val="auto"/>
              </w:rPr>
            </w:pPr>
            <w:r>
              <w:rPr>
                <w:rFonts w:ascii="Arial" w:cs="Arial" w:eastAsia="Arial" w:hAnsi="Arial"/>
                <w:sz w:val="13"/>
                <w:szCs w:val="13"/>
                <w:color w:val="auto"/>
                <w:w w:val="96"/>
              </w:rPr>
              <w:t>3,618,390</w:t>
            </w:r>
          </w:p>
        </w:tc>
      </w:tr>
      <w:tr>
        <w:trPr>
          <w:trHeight w:val="166"/>
        </w:trPr>
        <w:tc>
          <w:tcPr>
            <w:tcW w:w="3120" w:type="dxa"/>
            <w:vAlign w:val="bottom"/>
          </w:tcPr>
          <w:p>
            <w:pPr>
              <w:ind w:left="80"/>
              <w:spacing w:after="0"/>
              <w:rPr>
                <w:sz w:val="20"/>
                <w:szCs w:val="20"/>
                <w:color w:val="auto"/>
              </w:rPr>
            </w:pPr>
            <w:r>
              <w:rPr>
                <w:rFonts w:ascii="Arial" w:cs="Arial" w:eastAsia="Arial" w:hAnsi="Arial"/>
                <w:sz w:val="13"/>
                <w:szCs w:val="13"/>
                <w:color w:val="auto"/>
              </w:rPr>
              <w:t>Eva T. Zlotnicka</w:t>
            </w:r>
          </w:p>
        </w:tc>
        <w:tc>
          <w:tcPr>
            <w:tcW w:w="2000" w:type="dxa"/>
            <w:vAlign w:val="bottom"/>
            <w:gridSpan w:val="2"/>
          </w:tcPr>
          <w:p>
            <w:pPr>
              <w:jc w:val="center"/>
              <w:ind w:left="297"/>
              <w:spacing w:after="0"/>
              <w:rPr>
                <w:sz w:val="20"/>
                <w:szCs w:val="20"/>
                <w:color w:val="auto"/>
              </w:rPr>
            </w:pPr>
            <w:r>
              <w:rPr>
                <w:rFonts w:ascii="Arial" w:cs="Arial" w:eastAsia="Arial" w:hAnsi="Arial"/>
                <w:sz w:val="13"/>
                <w:szCs w:val="13"/>
                <w:color w:val="auto"/>
                <w:w w:val="96"/>
              </w:rPr>
              <w:t>7,691,710</w:t>
            </w:r>
          </w:p>
        </w:tc>
        <w:tc>
          <w:tcPr>
            <w:tcW w:w="2080" w:type="dxa"/>
            <w:vAlign w:val="bottom"/>
            <w:gridSpan w:val="2"/>
          </w:tcPr>
          <w:p>
            <w:pPr>
              <w:jc w:val="center"/>
              <w:ind w:left="297"/>
              <w:spacing w:after="0"/>
              <w:rPr>
                <w:sz w:val="20"/>
                <w:szCs w:val="20"/>
                <w:color w:val="auto"/>
              </w:rPr>
            </w:pPr>
            <w:r>
              <w:rPr>
                <w:rFonts w:ascii="Arial" w:cs="Arial" w:eastAsia="Arial" w:hAnsi="Arial"/>
                <w:sz w:val="13"/>
                <w:szCs w:val="13"/>
                <w:color w:val="auto"/>
                <w:w w:val="93"/>
              </w:rPr>
              <w:t>400,827</w:t>
            </w:r>
          </w:p>
        </w:tc>
        <w:tc>
          <w:tcPr>
            <w:tcW w:w="1980" w:type="dxa"/>
            <w:vAlign w:val="bottom"/>
            <w:gridSpan w:val="2"/>
          </w:tcPr>
          <w:p>
            <w:pPr>
              <w:jc w:val="center"/>
              <w:ind w:left="277"/>
              <w:spacing w:after="0"/>
              <w:rPr>
                <w:sz w:val="20"/>
                <w:szCs w:val="20"/>
                <w:color w:val="auto"/>
              </w:rPr>
            </w:pPr>
            <w:r>
              <w:rPr>
                <w:rFonts w:ascii="Arial" w:cs="Arial" w:eastAsia="Arial" w:hAnsi="Arial"/>
                <w:sz w:val="13"/>
                <w:szCs w:val="13"/>
                <w:color w:val="auto"/>
              </w:rPr>
              <w:t>42,377</w:t>
            </w:r>
          </w:p>
        </w:tc>
        <w:tc>
          <w:tcPr>
            <w:tcW w:w="2080" w:type="dxa"/>
            <w:vAlign w:val="bottom"/>
            <w:gridSpan w:val="2"/>
          </w:tcPr>
          <w:p>
            <w:pPr>
              <w:jc w:val="center"/>
              <w:ind w:left="257"/>
              <w:spacing w:after="0"/>
              <w:rPr>
                <w:sz w:val="20"/>
                <w:szCs w:val="20"/>
                <w:color w:val="auto"/>
              </w:rPr>
            </w:pPr>
            <w:r>
              <w:rPr>
                <w:rFonts w:ascii="Arial" w:cs="Arial" w:eastAsia="Arial" w:hAnsi="Arial"/>
                <w:sz w:val="13"/>
                <w:szCs w:val="13"/>
                <w:color w:val="auto"/>
                <w:w w:val="96"/>
              </w:rPr>
              <w:t>3,618,390</w:t>
            </w:r>
          </w:p>
        </w:tc>
      </w:tr>
    </w:tbl>
    <w:p>
      <w:pPr>
        <w:spacing w:after="0" w:line="212" w:lineRule="exact"/>
        <w:rPr>
          <w:sz w:val="20"/>
          <w:szCs w:val="20"/>
          <w:color w:val="auto"/>
        </w:rPr>
      </w:pPr>
    </w:p>
    <w:p>
      <w:pPr>
        <w:ind w:left="1025" w:hanging="516"/>
        <w:spacing w:after="0"/>
        <w:tabs>
          <w:tab w:leader="none" w:pos="1025" w:val="left"/>
        </w:tabs>
        <w:numPr>
          <w:ilvl w:val="0"/>
          <w:numId w:val="5"/>
        </w:numPr>
        <w:rPr>
          <w:rFonts w:ascii="Arial" w:cs="Arial" w:eastAsia="Arial" w:hAnsi="Arial"/>
          <w:sz w:val="13"/>
          <w:szCs w:val="13"/>
          <w:b w:val="1"/>
          <w:bCs w:val="1"/>
          <w:color w:val="auto"/>
        </w:rPr>
      </w:pPr>
      <w:r>
        <w:rPr>
          <w:rFonts w:ascii="Arial" w:cs="Arial" w:eastAsia="Arial" w:hAnsi="Arial"/>
          <w:sz w:val="13"/>
          <w:szCs w:val="13"/>
          <w:b w:val="1"/>
          <w:bCs w:val="1"/>
          <w:color w:val="auto"/>
        </w:rPr>
        <w:t>Advisory vote to approve the Company’s named executive officer compensation in fiscal 2026:</w:t>
      </w:r>
    </w:p>
    <w:p>
      <w:pPr>
        <w:spacing w:after="0" w:line="127"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2000" w:type="dxa"/>
            <w:vAlign w:val="bottom"/>
          </w:tcPr>
          <w:p>
            <w:pPr>
              <w:ind w:left="800"/>
              <w:spacing w:after="0"/>
              <w:rPr>
                <w:sz w:val="20"/>
                <w:szCs w:val="20"/>
                <w:color w:val="auto"/>
              </w:rPr>
            </w:pPr>
            <w:r>
              <w:rPr>
                <w:rFonts w:ascii="Arial" w:cs="Arial" w:eastAsia="Arial" w:hAnsi="Arial"/>
                <w:sz w:val="13"/>
                <w:szCs w:val="13"/>
                <w:b w:val="1"/>
                <w:bCs w:val="1"/>
                <w:color w:val="auto"/>
              </w:rPr>
              <w:t>Votes</w:t>
            </w:r>
          </w:p>
        </w:tc>
        <w:tc>
          <w:tcPr>
            <w:tcW w:w="1060" w:type="dxa"/>
            <w:vAlign w:val="bottom"/>
          </w:tcPr>
          <w:p>
            <w:pPr>
              <w:spacing w:after="0"/>
              <w:rPr>
                <w:sz w:val="12"/>
                <w:szCs w:val="12"/>
                <w:color w:val="auto"/>
              </w:rPr>
            </w:pPr>
          </w:p>
        </w:tc>
        <w:tc>
          <w:tcPr>
            <w:tcW w:w="2000" w:type="dxa"/>
            <w:vAlign w:val="bottom"/>
          </w:tcPr>
          <w:p>
            <w:pPr>
              <w:ind w:left="800"/>
              <w:spacing w:after="0"/>
              <w:rPr>
                <w:sz w:val="20"/>
                <w:szCs w:val="20"/>
                <w:color w:val="auto"/>
              </w:rPr>
            </w:pPr>
            <w:r>
              <w:rPr>
                <w:rFonts w:ascii="Arial" w:cs="Arial" w:eastAsia="Arial" w:hAnsi="Arial"/>
                <w:sz w:val="13"/>
                <w:szCs w:val="13"/>
                <w:b w:val="1"/>
                <w:bCs w:val="1"/>
                <w:color w:val="auto"/>
              </w:rPr>
              <w:t>Votes</w:t>
            </w:r>
          </w:p>
        </w:tc>
        <w:tc>
          <w:tcPr>
            <w:tcW w:w="10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3"/>
                <w:szCs w:val="13"/>
                <w:b w:val="1"/>
                <w:bCs w:val="1"/>
                <w:color w:val="auto"/>
                <w:w w:val="95"/>
              </w:rPr>
              <w:t>Broker</w:t>
            </w:r>
          </w:p>
        </w:tc>
      </w:tr>
      <w:tr>
        <w:trPr>
          <w:trHeight w:val="150"/>
        </w:trPr>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For</w:t>
            </w:r>
          </w:p>
        </w:tc>
        <w:tc>
          <w:tcPr>
            <w:tcW w:w="1060" w:type="dxa"/>
            <w:vAlign w:val="bottom"/>
          </w:tcPr>
          <w:p>
            <w:pPr>
              <w:spacing w:after="0"/>
              <w:rPr>
                <w:sz w:val="13"/>
                <w:szCs w:val="13"/>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Against</w:t>
            </w:r>
          </w:p>
        </w:tc>
        <w:tc>
          <w:tcPr>
            <w:tcW w:w="1040" w:type="dxa"/>
            <w:vAlign w:val="bottom"/>
          </w:tcPr>
          <w:p>
            <w:pPr>
              <w:spacing w:after="0"/>
              <w:rPr>
                <w:sz w:val="13"/>
                <w:szCs w:val="13"/>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Abstentions</w:t>
            </w:r>
          </w:p>
        </w:tc>
        <w:tc>
          <w:tcPr>
            <w:tcW w:w="1040" w:type="dxa"/>
            <w:vAlign w:val="bottom"/>
          </w:tcPr>
          <w:p>
            <w:pPr>
              <w:spacing w:after="0"/>
              <w:rPr>
                <w:sz w:val="13"/>
                <w:szCs w:val="13"/>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Non-Votes</w:t>
            </w:r>
          </w:p>
        </w:tc>
      </w:tr>
      <w:tr>
        <w:trPr>
          <w:trHeight w:val="158"/>
        </w:trPr>
        <w:tc>
          <w:tcPr>
            <w:tcW w:w="2000" w:type="dxa"/>
            <w:vAlign w:val="bottom"/>
          </w:tcPr>
          <w:p>
            <w:pPr>
              <w:jc w:val="right"/>
              <w:ind w:right="657"/>
              <w:spacing w:after="0"/>
              <w:rPr>
                <w:sz w:val="20"/>
                <w:szCs w:val="20"/>
                <w:color w:val="auto"/>
              </w:rPr>
            </w:pPr>
            <w:r>
              <w:rPr>
                <w:rFonts w:ascii="Arial" w:cs="Arial" w:eastAsia="Arial" w:hAnsi="Arial"/>
                <w:sz w:val="13"/>
                <w:szCs w:val="13"/>
                <w:color w:val="auto"/>
              </w:rPr>
              <w:t>5,762,943</w:t>
            </w:r>
          </w:p>
        </w:tc>
        <w:tc>
          <w:tcPr>
            <w:tcW w:w="1060" w:type="dxa"/>
            <w:vAlign w:val="bottom"/>
          </w:tcPr>
          <w:p>
            <w:pPr>
              <w:spacing w:after="0"/>
              <w:rPr>
                <w:sz w:val="13"/>
                <w:szCs w:val="13"/>
                <w:color w:val="auto"/>
              </w:rPr>
            </w:pPr>
          </w:p>
        </w:tc>
        <w:tc>
          <w:tcPr>
            <w:tcW w:w="2000" w:type="dxa"/>
            <w:vAlign w:val="bottom"/>
          </w:tcPr>
          <w:p>
            <w:pPr>
              <w:jc w:val="right"/>
              <w:ind w:right="657"/>
              <w:spacing w:after="0"/>
              <w:rPr>
                <w:sz w:val="20"/>
                <w:szCs w:val="20"/>
                <w:color w:val="auto"/>
              </w:rPr>
            </w:pPr>
            <w:r>
              <w:rPr>
                <w:rFonts w:ascii="Arial" w:cs="Arial" w:eastAsia="Arial" w:hAnsi="Arial"/>
                <w:sz w:val="13"/>
                <w:szCs w:val="13"/>
                <w:color w:val="auto"/>
              </w:rPr>
              <w:t>2,365,861</w:t>
            </w:r>
          </w:p>
        </w:tc>
        <w:tc>
          <w:tcPr>
            <w:tcW w:w="1040" w:type="dxa"/>
            <w:vAlign w:val="bottom"/>
          </w:tcPr>
          <w:p>
            <w:pPr>
              <w:spacing w:after="0"/>
              <w:rPr>
                <w:sz w:val="13"/>
                <w:szCs w:val="13"/>
                <w:color w:val="auto"/>
              </w:rPr>
            </w:pPr>
          </w:p>
        </w:tc>
        <w:tc>
          <w:tcPr>
            <w:tcW w:w="2120" w:type="dxa"/>
            <w:vAlign w:val="bottom"/>
          </w:tcPr>
          <w:p>
            <w:pPr>
              <w:jc w:val="right"/>
              <w:ind w:right="837"/>
              <w:spacing w:after="0"/>
              <w:rPr>
                <w:sz w:val="20"/>
                <w:szCs w:val="20"/>
                <w:color w:val="auto"/>
              </w:rPr>
            </w:pPr>
            <w:r>
              <w:rPr>
                <w:rFonts w:ascii="Arial" w:cs="Arial" w:eastAsia="Arial" w:hAnsi="Arial"/>
                <w:sz w:val="13"/>
                <w:szCs w:val="13"/>
                <w:color w:val="auto"/>
              </w:rPr>
              <w:t>6,110</w:t>
            </w:r>
          </w:p>
        </w:tc>
        <w:tc>
          <w:tcPr>
            <w:tcW w:w="104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Arial" w:cs="Arial" w:eastAsia="Arial" w:hAnsi="Arial"/>
                <w:sz w:val="13"/>
                <w:szCs w:val="13"/>
                <w:color w:val="auto"/>
                <w:w w:val="96"/>
              </w:rPr>
              <w:t>3,618,390</w:t>
            </w:r>
          </w:p>
        </w:tc>
      </w:tr>
    </w:tbl>
    <w:p>
      <w:pPr>
        <w:spacing w:after="0" w:line="205" w:lineRule="exact"/>
        <w:rPr>
          <w:sz w:val="20"/>
          <w:szCs w:val="20"/>
          <w:color w:val="auto"/>
        </w:rPr>
      </w:pPr>
    </w:p>
    <w:p>
      <w:pPr>
        <w:ind w:left="1025" w:hanging="516"/>
        <w:spacing w:after="0"/>
        <w:tabs>
          <w:tab w:leader="none" w:pos="1025" w:val="left"/>
        </w:tabs>
        <w:numPr>
          <w:ilvl w:val="0"/>
          <w:numId w:val="6"/>
        </w:numPr>
        <w:rPr>
          <w:rFonts w:ascii="Arial" w:cs="Arial" w:eastAsia="Arial" w:hAnsi="Arial"/>
          <w:sz w:val="13"/>
          <w:szCs w:val="13"/>
          <w:b w:val="1"/>
          <w:bCs w:val="1"/>
          <w:color w:val="auto"/>
        </w:rPr>
      </w:pPr>
      <w:r>
        <w:rPr>
          <w:rFonts w:ascii="Arial" w:cs="Arial" w:eastAsia="Arial" w:hAnsi="Arial"/>
          <w:sz w:val="13"/>
          <w:szCs w:val="13"/>
          <w:b w:val="1"/>
          <w:bCs w:val="1"/>
          <w:color w:val="auto"/>
        </w:rPr>
        <w:t>Ratification of the appointment of KPMG LLP to serve as the Company’s independent registered public accounting firm for fiscal 2027:</w:t>
      </w:r>
    </w:p>
    <w:p>
      <w:pPr>
        <w:spacing w:after="0" w:line="269"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2000" w:type="dxa"/>
            <w:vAlign w:val="bottom"/>
          </w:tcPr>
          <w:p>
            <w:pPr>
              <w:jc w:val="center"/>
              <w:spacing w:after="0"/>
              <w:rPr>
                <w:sz w:val="20"/>
                <w:szCs w:val="20"/>
                <w:color w:val="auto"/>
              </w:rPr>
            </w:pPr>
            <w:r>
              <w:rPr>
                <w:rFonts w:ascii="Arial" w:cs="Arial" w:eastAsia="Arial" w:hAnsi="Arial"/>
                <w:sz w:val="13"/>
                <w:szCs w:val="13"/>
                <w:b w:val="1"/>
                <w:bCs w:val="1"/>
                <w:color w:val="auto"/>
                <w:w w:val="95"/>
              </w:rPr>
              <w:t>Votes</w:t>
            </w:r>
          </w:p>
        </w:tc>
        <w:tc>
          <w:tcPr>
            <w:tcW w:w="10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3"/>
                <w:szCs w:val="13"/>
                <w:b w:val="1"/>
                <w:bCs w:val="1"/>
                <w:color w:val="auto"/>
              </w:rPr>
              <w:t>Votes</w:t>
            </w:r>
          </w:p>
        </w:tc>
        <w:tc>
          <w:tcPr>
            <w:tcW w:w="10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3"/>
                <w:szCs w:val="13"/>
                <w:b w:val="1"/>
                <w:bCs w:val="1"/>
                <w:color w:val="auto"/>
                <w:w w:val="95"/>
              </w:rPr>
              <w:t>Broker</w:t>
            </w:r>
          </w:p>
        </w:tc>
      </w:tr>
      <w:tr>
        <w:trPr>
          <w:trHeight w:val="150"/>
        </w:trPr>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For</w:t>
            </w:r>
          </w:p>
        </w:tc>
        <w:tc>
          <w:tcPr>
            <w:tcW w:w="1060" w:type="dxa"/>
            <w:vAlign w:val="bottom"/>
          </w:tcPr>
          <w:p>
            <w:pPr>
              <w:spacing w:after="0"/>
              <w:rPr>
                <w:sz w:val="13"/>
                <w:szCs w:val="13"/>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Against</w:t>
            </w:r>
          </w:p>
        </w:tc>
        <w:tc>
          <w:tcPr>
            <w:tcW w:w="1040" w:type="dxa"/>
            <w:vAlign w:val="bottom"/>
          </w:tcPr>
          <w:p>
            <w:pPr>
              <w:spacing w:after="0"/>
              <w:rPr>
                <w:sz w:val="13"/>
                <w:szCs w:val="13"/>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Abstentions</w:t>
            </w:r>
          </w:p>
        </w:tc>
        <w:tc>
          <w:tcPr>
            <w:tcW w:w="1040" w:type="dxa"/>
            <w:vAlign w:val="bottom"/>
          </w:tcPr>
          <w:p>
            <w:pPr>
              <w:spacing w:after="0"/>
              <w:rPr>
                <w:sz w:val="13"/>
                <w:szCs w:val="13"/>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Non-Votes</w:t>
            </w:r>
          </w:p>
        </w:tc>
      </w:tr>
      <w:tr>
        <w:trPr>
          <w:trHeight w:val="158"/>
        </w:trPr>
        <w:tc>
          <w:tcPr>
            <w:tcW w:w="2000" w:type="dxa"/>
            <w:vAlign w:val="bottom"/>
          </w:tcPr>
          <w:p>
            <w:pPr>
              <w:jc w:val="center"/>
              <w:spacing w:after="0"/>
              <w:rPr>
                <w:sz w:val="20"/>
                <w:szCs w:val="20"/>
                <w:color w:val="auto"/>
              </w:rPr>
            </w:pPr>
            <w:r>
              <w:rPr>
                <w:rFonts w:ascii="Arial" w:cs="Arial" w:eastAsia="Arial" w:hAnsi="Arial"/>
                <w:sz w:val="13"/>
                <w:szCs w:val="13"/>
                <w:color w:val="auto"/>
                <w:w w:val="95"/>
              </w:rPr>
              <w:t>11,745,137</w:t>
            </w:r>
          </w:p>
        </w:tc>
        <w:tc>
          <w:tcPr>
            <w:tcW w:w="106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Arial" w:cs="Arial" w:eastAsia="Arial" w:hAnsi="Arial"/>
                <w:sz w:val="13"/>
                <w:szCs w:val="13"/>
                <w:color w:val="auto"/>
                <w:w w:val="98"/>
              </w:rPr>
              <w:t>7,834</w:t>
            </w:r>
          </w:p>
        </w:tc>
        <w:tc>
          <w:tcPr>
            <w:tcW w:w="1040" w:type="dxa"/>
            <w:vAlign w:val="bottom"/>
          </w:tcPr>
          <w:p>
            <w:pPr>
              <w:spacing w:after="0"/>
              <w:rPr>
                <w:sz w:val="13"/>
                <w:szCs w:val="13"/>
                <w:color w:val="auto"/>
              </w:rPr>
            </w:pPr>
          </w:p>
        </w:tc>
        <w:tc>
          <w:tcPr>
            <w:tcW w:w="2120" w:type="dxa"/>
            <w:vAlign w:val="bottom"/>
          </w:tcPr>
          <w:p>
            <w:pPr>
              <w:jc w:val="right"/>
              <w:ind w:right="897"/>
              <w:spacing w:after="0"/>
              <w:rPr>
                <w:sz w:val="20"/>
                <w:szCs w:val="20"/>
                <w:color w:val="auto"/>
              </w:rPr>
            </w:pPr>
            <w:r>
              <w:rPr>
                <w:rFonts w:ascii="Arial" w:cs="Arial" w:eastAsia="Arial" w:hAnsi="Arial"/>
                <w:sz w:val="13"/>
                <w:szCs w:val="13"/>
                <w:color w:val="auto"/>
              </w:rPr>
              <w:t>333</w:t>
            </w:r>
          </w:p>
        </w:tc>
        <w:tc>
          <w:tcPr>
            <w:tcW w:w="104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Arial" w:cs="Arial" w:eastAsia="Arial" w:hAnsi="Arial"/>
                <w:sz w:val="13"/>
                <w:szCs w:val="13"/>
                <w:color w:val="auto"/>
              </w:rPr>
              <w:t>0</w:t>
            </w:r>
          </w:p>
        </w:tc>
      </w:tr>
      <w:tr>
        <w:trPr>
          <w:trHeight w:val="831"/>
        </w:trPr>
        <w:tc>
          <w:tcPr>
            <w:tcW w:w="20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983" w:right="319" w:bottom="1440" w:gutter="0" w:footer="0" w:header="0"/>
        </w:sectPr>
      </w:pPr>
    </w:p>
    <w:bookmarkStart w:id="2" w:name="page3"/>
    <w:bookmarkEnd w:id="2"/>
    <w:p>
      <w:pPr>
        <w:ind w:left="5"/>
        <w:spacing w:after="0"/>
        <w:rPr>
          <w:sz w:val="20"/>
          <w:szCs w:val="20"/>
          <w:color w:val="auto"/>
        </w:rPr>
      </w:pPr>
      <w:r>
        <w:rPr>
          <w:rFonts w:ascii="Arial" w:cs="Arial" w:eastAsia="Arial" w:hAnsi="Arial"/>
          <w:sz w:val="13"/>
          <w:szCs w:val="13"/>
          <w:b w:val="1"/>
          <w:bCs w:val="1"/>
          <w:color w:val="auto"/>
        </w:rPr>
        <w:t>Item 7.01.  Regulation FD Disclosure.</w:t>
      </w:r>
    </w:p>
    <w:p>
      <w:pPr>
        <w:spacing w:after="0" w:line="87" w:lineRule="exact"/>
        <w:rPr>
          <w:sz w:val="20"/>
          <w:szCs w:val="20"/>
          <w:color w:val="auto"/>
        </w:rPr>
      </w:pPr>
    </w:p>
    <w:p>
      <w:pPr>
        <w:ind w:left="5"/>
        <w:spacing w:after="0" w:line="254" w:lineRule="auto"/>
        <w:rPr>
          <w:sz w:val="20"/>
          <w:szCs w:val="20"/>
          <w:color w:val="auto"/>
        </w:rPr>
      </w:pPr>
      <w:r>
        <w:rPr>
          <w:rFonts w:ascii="Arial" w:cs="Arial" w:eastAsia="Arial" w:hAnsi="Arial"/>
          <w:sz w:val="13"/>
          <w:szCs w:val="13"/>
          <w:color w:val="auto"/>
        </w:rPr>
        <w:t>On October 30, 2026, the Company will host a conference call to discuss its operating results for the fiscal first quarter ended September 27, 2026. A copy of the materials prepared for use by management during this conference call is attached hereto as Exhibit 99.3.</w:t>
      </w:r>
    </w:p>
    <w:p>
      <w:pPr>
        <w:spacing w:after="0" w:line="62" w:lineRule="exact"/>
        <w:rPr>
          <w:sz w:val="20"/>
          <w:szCs w:val="20"/>
          <w:color w:val="auto"/>
        </w:rPr>
      </w:pPr>
    </w:p>
    <w:p>
      <w:pPr>
        <w:ind w:left="5" w:right="20"/>
        <w:spacing w:after="0" w:line="254" w:lineRule="auto"/>
        <w:rPr>
          <w:sz w:val="20"/>
          <w:szCs w:val="20"/>
          <w:color w:val="auto"/>
        </w:rPr>
      </w:pPr>
      <w:r>
        <w:rPr>
          <w:rFonts w:ascii="Arial" w:cs="Arial" w:eastAsia="Arial" w:hAnsi="Arial"/>
          <w:sz w:val="13"/>
          <w:szCs w:val="13"/>
          <w:color w:val="auto"/>
        </w:rPr>
        <w:t>The information contained in this Item 7.01 of this Current Report, and in Exhibit 99.3 hereto, shall not be deemed “filed” for purposes of Section 18 of the Exchange Act, or otherwise subject to the liabilities of that section, nor shall it be incorporated by reference into any filing under the Securities Act, or the Exchange Act, except as expressly set forth by specific reference in such filing.</w:t>
      </w:r>
    </w:p>
    <w:p>
      <w:pPr>
        <w:spacing w:after="0" w:line="251" w:lineRule="exact"/>
        <w:rPr>
          <w:sz w:val="20"/>
          <w:szCs w:val="20"/>
          <w:color w:val="auto"/>
        </w:rPr>
      </w:pPr>
    </w:p>
    <w:p>
      <w:pPr>
        <w:ind w:left="5"/>
        <w:spacing w:after="0"/>
        <w:rPr>
          <w:sz w:val="20"/>
          <w:szCs w:val="20"/>
          <w:color w:val="auto"/>
        </w:rPr>
      </w:pPr>
      <w:r>
        <w:rPr>
          <w:rFonts w:ascii="Arial" w:cs="Arial" w:eastAsia="Arial" w:hAnsi="Arial"/>
          <w:sz w:val="13"/>
          <w:szCs w:val="13"/>
          <w:b w:val="1"/>
          <w:bCs w:val="1"/>
          <w:color w:val="auto"/>
        </w:rPr>
        <w:t>Item 9.01.  Financial Statements and Exhibits.</w:t>
      </w:r>
    </w:p>
    <w:p>
      <w:pPr>
        <w:spacing w:after="0" w:line="89" w:lineRule="exact"/>
        <w:rPr>
          <w:sz w:val="20"/>
          <w:szCs w:val="20"/>
          <w:color w:val="auto"/>
        </w:rPr>
      </w:pPr>
    </w:p>
    <w:p>
      <w:pPr>
        <w:ind w:left="185" w:hanging="185"/>
        <w:spacing w:after="0"/>
        <w:tabs>
          <w:tab w:leader="none" w:pos="185" w:val="left"/>
        </w:tabs>
        <w:numPr>
          <w:ilvl w:val="0"/>
          <w:numId w:val="7"/>
        </w:numPr>
        <w:rPr>
          <w:rFonts w:ascii="Arial" w:cs="Arial" w:eastAsia="Arial" w:hAnsi="Arial"/>
          <w:sz w:val="13"/>
          <w:szCs w:val="13"/>
          <w:color w:val="auto"/>
        </w:rPr>
      </w:pPr>
      <w:r>
        <w:rPr>
          <w:rFonts w:ascii="Arial" w:cs="Arial" w:eastAsia="Arial" w:hAnsi="Arial"/>
          <w:sz w:val="13"/>
          <w:szCs w:val="13"/>
          <w:i w:val="1"/>
          <w:iCs w:val="1"/>
          <w:color w:val="auto"/>
        </w:rPr>
        <w:t>Exhibits.</w:t>
      </w:r>
    </w:p>
    <w:p>
      <w:pPr>
        <w:spacing w:after="0" w:line="132" w:lineRule="exact"/>
        <w:rPr>
          <w:rFonts w:ascii="Arial" w:cs="Arial" w:eastAsia="Arial" w:hAnsi="Arial"/>
          <w:sz w:val="13"/>
          <w:szCs w:val="13"/>
          <w:color w:val="auto"/>
        </w:rPr>
      </w:pPr>
    </w:p>
    <w:p>
      <w:pPr>
        <w:ind w:left="285" w:right="9540" w:hanging="109"/>
        <w:spacing w:after="0" w:line="252" w:lineRule="auto"/>
        <w:rPr>
          <w:rFonts w:ascii="Arial" w:cs="Arial" w:eastAsia="Arial" w:hAnsi="Arial"/>
          <w:sz w:val="13"/>
          <w:szCs w:val="13"/>
          <w:color w:val="auto"/>
        </w:rPr>
      </w:pPr>
      <w:r>
        <w:rPr>
          <w:rFonts w:ascii="Arial" w:cs="Arial" w:eastAsia="Arial" w:hAnsi="Arial"/>
          <w:sz w:val="13"/>
          <w:szCs w:val="13"/>
          <w:b w:val="1"/>
          <w:bCs w:val="1"/>
          <w:color w:val="auto"/>
        </w:rPr>
        <w:t>ExhibitDescription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4946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15" w:lineRule="exact"/>
        <w:rPr>
          <w:sz w:val="20"/>
          <w:szCs w:val="20"/>
          <w:color w:val="auto"/>
        </w:rPr>
      </w:pPr>
    </w:p>
    <w:tbl>
      <w:tblPr>
        <w:tblLayout w:type="fixed"/>
        <w:tblInd w:w="245" w:type="dxa"/>
        <w:tblCellMar>
          <w:top w:w="0" w:type="dxa"/>
          <w:left w:w="0" w:type="dxa"/>
          <w:bottom w:w="0" w:type="dxa"/>
          <w:right w:w="0" w:type="dxa"/>
        </w:tblCellMar>
      </w:tblPr>
      <w:tr>
        <w:trPr>
          <w:trHeight w:val="184"/>
        </w:trPr>
        <w:tc>
          <w:tcPr>
            <w:tcW w:w="780" w:type="dxa"/>
            <w:vAlign w:val="bottom"/>
          </w:tcPr>
          <w:p>
            <w:pPr>
              <w:jc w:val="right"/>
              <w:ind w:right="417"/>
              <w:spacing w:after="0"/>
              <w:rPr>
                <w:sz w:val="20"/>
                <w:szCs w:val="20"/>
                <w:color w:val="auto"/>
              </w:rPr>
            </w:pPr>
            <w:r>
              <w:rPr>
                <w:rFonts w:ascii="Arial" w:cs="Arial" w:eastAsia="Arial" w:hAnsi="Arial"/>
                <w:sz w:val="13"/>
                <w:szCs w:val="13"/>
                <w:color w:val="auto"/>
                <w:w w:val="88"/>
              </w:rPr>
              <w:t>99.1</w:t>
            </w:r>
            <w:r>
              <w:rPr>
                <w:rFonts w:ascii="Arial" w:cs="Arial" w:eastAsia="Arial" w:hAnsi="Arial"/>
                <w:sz w:val="16"/>
                <w:szCs w:val="16"/>
                <w:color w:val="auto"/>
                <w:w w:val="88"/>
                <w:vertAlign w:val="superscript"/>
              </w:rPr>
              <w:t>+</w:t>
            </w:r>
          </w:p>
        </w:tc>
        <w:tc>
          <w:tcPr>
            <w:tcW w:w="2960" w:type="dxa"/>
            <w:vAlign w:val="bottom"/>
            <w:tcBorders>
              <w:bottom w:val="single" w:sz="8" w:color="0000FF"/>
            </w:tcBorders>
            <w:gridSpan w:val="3"/>
          </w:tcPr>
          <w:p>
            <w:pPr>
              <w:spacing w:after="0"/>
              <w:rPr>
                <w:sz w:val="20"/>
                <w:szCs w:val="20"/>
                <w:color w:val="auto"/>
              </w:rPr>
            </w:pPr>
            <w:r>
              <w:rPr>
                <w:rFonts w:ascii="Arial" w:cs="Arial" w:eastAsia="Arial" w:hAnsi="Arial"/>
                <w:sz w:val="13"/>
                <w:szCs w:val="13"/>
                <w:color w:val="0000FF"/>
                <w:w w:val="96"/>
              </w:rPr>
              <w:t>Press Release of Unifi, Inc., dated October 29, 2026.</w:t>
            </w:r>
          </w:p>
        </w:tc>
        <w:tc>
          <w:tcPr>
            <w:tcW w:w="20" w:type="dxa"/>
            <w:vAlign w:val="bottom"/>
            <w:tcBorders>
              <w:bottom w:val="single" w:sz="8" w:color="0000EE"/>
            </w:tcBorders>
          </w:tcPr>
          <w:p>
            <w:pPr>
              <w:spacing w:after="0"/>
              <w:rPr>
                <w:sz w:val="16"/>
                <w:szCs w:val="16"/>
                <w:color w:val="auto"/>
              </w:rPr>
            </w:pPr>
          </w:p>
        </w:tc>
      </w:tr>
      <w:tr>
        <w:trPr>
          <w:trHeight w:val="287"/>
        </w:trPr>
        <w:tc>
          <w:tcPr>
            <w:tcW w:w="780" w:type="dxa"/>
            <w:vAlign w:val="bottom"/>
          </w:tcPr>
          <w:p>
            <w:pPr>
              <w:jc w:val="right"/>
              <w:ind w:right="417"/>
              <w:spacing w:after="0"/>
              <w:rPr>
                <w:sz w:val="20"/>
                <w:szCs w:val="20"/>
                <w:color w:val="auto"/>
              </w:rPr>
            </w:pPr>
            <w:r>
              <w:rPr>
                <w:rFonts w:ascii="Arial" w:cs="Arial" w:eastAsia="Arial" w:hAnsi="Arial"/>
                <w:sz w:val="13"/>
                <w:szCs w:val="13"/>
                <w:color w:val="auto"/>
                <w:w w:val="88"/>
              </w:rPr>
              <w:t>99.2</w:t>
            </w:r>
            <w:r>
              <w:rPr>
                <w:rFonts w:ascii="Arial" w:cs="Arial" w:eastAsia="Arial" w:hAnsi="Arial"/>
                <w:sz w:val="16"/>
                <w:szCs w:val="16"/>
                <w:color w:val="auto"/>
                <w:w w:val="88"/>
                <w:vertAlign w:val="superscript"/>
              </w:rPr>
              <w:t>+</w:t>
            </w:r>
          </w:p>
        </w:tc>
        <w:tc>
          <w:tcPr>
            <w:tcW w:w="2960" w:type="dxa"/>
            <w:vAlign w:val="bottom"/>
            <w:tcBorders>
              <w:bottom w:val="single" w:sz="8" w:color="0000FF"/>
            </w:tcBorders>
            <w:gridSpan w:val="3"/>
          </w:tcPr>
          <w:p>
            <w:pPr>
              <w:spacing w:after="0"/>
              <w:rPr>
                <w:sz w:val="20"/>
                <w:szCs w:val="20"/>
                <w:color w:val="auto"/>
              </w:rPr>
            </w:pPr>
            <w:r>
              <w:rPr>
                <w:rFonts w:ascii="Arial" w:cs="Arial" w:eastAsia="Arial" w:hAnsi="Arial"/>
                <w:sz w:val="13"/>
                <w:szCs w:val="13"/>
                <w:color w:val="0000FF"/>
                <w:w w:val="96"/>
              </w:rPr>
              <w:t>Press Release of Unifi, Inc., dated October 29, 2026.</w:t>
            </w:r>
          </w:p>
        </w:tc>
        <w:tc>
          <w:tcPr>
            <w:tcW w:w="20" w:type="dxa"/>
            <w:vAlign w:val="bottom"/>
          </w:tcPr>
          <w:p>
            <w:pPr>
              <w:spacing w:after="0"/>
              <w:rPr>
                <w:sz w:val="24"/>
                <w:szCs w:val="24"/>
                <w:color w:val="auto"/>
              </w:rPr>
            </w:pPr>
          </w:p>
        </w:tc>
      </w:tr>
      <w:tr>
        <w:trPr>
          <w:trHeight w:val="287"/>
        </w:trPr>
        <w:tc>
          <w:tcPr>
            <w:tcW w:w="780" w:type="dxa"/>
            <w:vAlign w:val="bottom"/>
          </w:tcPr>
          <w:p>
            <w:pPr>
              <w:jc w:val="right"/>
              <w:ind w:right="417"/>
              <w:spacing w:after="0"/>
              <w:rPr>
                <w:sz w:val="20"/>
                <w:szCs w:val="20"/>
                <w:color w:val="auto"/>
              </w:rPr>
            </w:pPr>
            <w:r>
              <w:rPr>
                <w:rFonts w:ascii="Arial" w:cs="Arial" w:eastAsia="Arial" w:hAnsi="Arial"/>
                <w:sz w:val="13"/>
                <w:szCs w:val="13"/>
                <w:color w:val="auto"/>
                <w:w w:val="88"/>
              </w:rPr>
              <w:t>99.3</w:t>
            </w:r>
            <w:r>
              <w:rPr>
                <w:rFonts w:ascii="Arial" w:cs="Arial" w:eastAsia="Arial" w:hAnsi="Arial"/>
                <w:sz w:val="16"/>
                <w:szCs w:val="16"/>
                <w:color w:val="auto"/>
                <w:w w:val="88"/>
                <w:vertAlign w:val="superscript"/>
              </w:rPr>
              <w:t>+</w:t>
            </w:r>
          </w:p>
        </w:tc>
        <w:tc>
          <w:tcPr>
            <w:tcW w:w="208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96"/>
              </w:rPr>
              <w:t>Earnings Call Presentation Materials.</w:t>
            </w:r>
          </w:p>
        </w:tc>
        <w:tc>
          <w:tcPr>
            <w:tcW w:w="20" w:type="dxa"/>
            <w:vAlign w:val="bottom"/>
            <w:tcBorders>
              <w:bottom w:val="single" w:sz="8" w:color="0000EE"/>
            </w:tcBorders>
          </w:tcPr>
          <w:p>
            <w:pPr>
              <w:spacing w:after="0"/>
              <w:rPr>
                <w:sz w:val="24"/>
                <w:szCs w:val="24"/>
                <w:color w:val="auto"/>
              </w:rPr>
            </w:pPr>
          </w:p>
        </w:tc>
        <w:tc>
          <w:tcPr>
            <w:tcW w:w="880" w:type="dxa"/>
            <w:vAlign w:val="bottom"/>
            <w:gridSpan w:val="2"/>
          </w:tcPr>
          <w:p>
            <w:pPr>
              <w:spacing w:after="0"/>
              <w:rPr>
                <w:sz w:val="24"/>
                <w:szCs w:val="24"/>
                <w:color w:val="auto"/>
              </w:rPr>
            </w:pPr>
          </w:p>
        </w:tc>
      </w:tr>
    </w:tbl>
    <w:p>
      <w:pPr>
        <w:spacing w:after="0" w:line="158" w:lineRule="exact"/>
        <w:rPr>
          <w:sz w:val="20"/>
          <w:szCs w:val="20"/>
          <w:color w:val="auto"/>
        </w:rPr>
      </w:pPr>
    </w:p>
    <w:p>
      <w:pPr>
        <w:ind w:left="1025" w:hanging="734"/>
        <w:spacing w:after="0"/>
        <w:tabs>
          <w:tab w:leader="none" w:pos="1025" w:val="left"/>
        </w:tabs>
        <w:numPr>
          <w:ilvl w:val="1"/>
          <w:numId w:val="8"/>
        </w:numPr>
        <w:rPr>
          <w:rFonts w:ascii="Arial" w:cs="Arial" w:eastAsia="Arial" w:hAnsi="Arial"/>
          <w:sz w:val="13"/>
          <w:szCs w:val="13"/>
          <w:color w:val="auto"/>
        </w:rPr>
      </w:pPr>
      <w:r>
        <w:rPr>
          <w:rFonts w:ascii="Arial" w:cs="Arial" w:eastAsia="Arial" w:hAnsi="Arial"/>
          <w:sz w:val="13"/>
          <w:szCs w:val="13"/>
          <w:color w:val="auto"/>
        </w:rPr>
        <w:t>Cover Page Interactive Data File (embedded within the Inline XBRL document).</w:t>
      </w:r>
    </w:p>
    <w:p>
      <w:pPr>
        <w:spacing w:after="0" w:line="134" w:lineRule="exact"/>
        <w:rPr>
          <w:rFonts w:ascii="Arial" w:cs="Arial" w:eastAsia="Arial" w:hAnsi="Arial"/>
          <w:sz w:val="13"/>
          <w:szCs w:val="13"/>
          <w:color w:val="auto"/>
        </w:rPr>
      </w:pPr>
    </w:p>
    <w:p>
      <w:pPr>
        <w:ind w:left="105" w:hanging="105"/>
        <w:spacing w:after="0"/>
        <w:tabs>
          <w:tab w:leader="none" w:pos="105" w:val="left"/>
        </w:tabs>
        <w:numPr>
          <w:ilvl w:val="0"/>
          <w:numId w:val="8"/>
        </w:numPr>
        <w:rPr>
          <w:rFonts w:ascii="Arial" w:cs="Arial" w:eastAsia="Arial" w:hAnsi="Arial"/>
          <w:sz w:val="13"/>
          <w:szCs w:val="13"/>
          <w:color w:val="auto"/>
        </w:rPr>
      </w:pPr>
      <w:r>
        <w:rPr>
          <w:rFonts w:ascii="Arial" w:cs="Arial" w:eastAsia="Arial" w:hAnsi="Arial"/>
          <w:sz w:val="13"/>
          <w:szCs w:val="13"/>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408305</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983" w:right="319" w:bottom="1440" w:gutter="0" w:footer="0" w:header="0"/>
        </w:sectPr>
      </w:pPr>
    </w:p>
    <w:bookmarkStart w:id="3" w:name="page4"/>
    <w:bookmarkEnd w:id="3"/>
    <w:p>
      <w:pPr>
        <w:ind w:left="5220"/>
        <w:spacing w:after="0"/>
        <w:rPr>
          <w:sz w:val="20"/>
          <w:szCs w:val="20"/>
          <w:color w:val="auto"/>
        </w:rPr>
      </w:pPr>
      <w:r>
        <w:rPr>
          <w:rFonts w:ascii="Arial" w:cs="Arial" w:eastAsia="Arial" w:hAnsi="Arial"/>
          <w:sz w:val="13"/>
          <w:szCs w:val="13"/>
          <w:b w:val="1"/>
          <w:bCs w:val="1"/>
          <w:color w:val="auto"/>
        </w:rPr>
        <w:t>SIGNATURES</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20" w:lineRule="exact"/>
        <w:rPr>
          <w:sz w:val="20"/>
          <w:szCs w:val="20"/>
          <w:color w:val="auto"/>
        </w:rPr>
      </w:pPr>
    </w:p>
    <w:p>
      <w:pPr>
        <w:ind w:left="6080"/>
        <w:spacing w:after="0"/>
        <w:rPr>
          <w:sz w:val="20"/>
          <w:szCs w:val="20"/>
          <w:color w:val="auto"/>
        </w:rPr>
      </w:pPr>
      <w:r>
        <w:rPr>
          <w:rFonts w:ascii="Arial" w:cs="Arial" w:eastAsia="Arial" w:hAnsi="Arial"/>
          <w:sz w:val="16"/>
          <w:szCs w:val="16"/>
          <w:b w:val="1"/>
          <w:bCs w:val="1"/>
          <w:color w:val="auto"/>
        </w:rPr>
        <w:t>UNIFI, INC.</w:t>
      </w:r>
    </w:p>
    <w:p>
      <w:pPr>
        <w:spacing w:after="0" w:line="310"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October 29, 2026</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ANDREW J. EAKER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0</wp:posOffset>
            </wp:positionV>
            <wp:extent cx="328168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ind w:left="6080"/>
        <w:spacing w:after="0"/>
        <w:rPr>
          <w:sz w:val="20"/>
          <w:szCs w:val="20"/>
          <w:color w:val="auto"/>
        </w:rPr>
      </w:pPr>
      <w:r>
        <w:rPr>
          <w:rFonts w:ascii="Arial" w:cs="Arial" w:eastAsia="Arial" w:hAnsi="Arial"/>
          <w:sz w:val="13"/>
          <w:szCs w:val="13"/>
          <w:color w:val="auto"/>
        </w:rPr>
        <w:t>Andrew J. Eaker</w:t>
      </w:r>
    </w:p>
    <w:p>
      <w:pPr>
        <w:ind w:left="6080"/>
        <w:spacing w:after="0" w:line="234" w:lineRule="auto"/>
        <w:rPr>
          <w:sz w:val="20"/>
          <w:szCs w:val="20"/>
          <w:color w:val="auto"/>
        </w:rPr>
      </w:pPr>
      <w:r>
        <w:rPr>
          <w:rFonts w:ascii="Arial" w:cs="Arial" w:eastAsia="Arial" w:hAnsi="Arial"/>
          <w:sz w:val="13"/>
          <w:szCs w:val="13"/>
          <w:color w:val="auto"/>
        </w:rPr>
        <w:t>Executive Vice President &amp; Chief Financial Officer</w:t>
      </w:r>
    </w:p>
    <w:p>
      <w:pPr>
        <w:ind w:left="6080"/>
        <w:spacing w:after="0"/>
        <w:rPr>
          <w:sz w:val="20"/>
          <w:szCs w:val="20"/>
          <w:color w:val="auto"/>
        </w:rPr>
      </w:pPr>
      <w:r>
        <w:rPr>
          <w:rFonts w:ascii="Arial" w:cs="Arial" w:eastAsia="Arial" w:hAnsi="Arial"/>
          <w:sz w:val="13"/>
          <w:szCs w:val="13"/>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610870</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80"/>
          </w:cols>
          <w:pgMar w:left="320" w:top="699" w:right="1399" w:bottom="1440" w:gutter="0" w:footer="0" w:header="0"/>
        </w:sectPr>
      </w:pPr>
    </w:p>
    <w:bookmarkStart w:id="4" w:name="page5"/>
    <w:bookmarkEnd w:id="4"/>
    <w:p>
      <w:pPr>
        <w:ind w:left="10420"/>
        <w:spacing w:after="0"/>
        <w:rPr>
          <w:sz w:val="20"/>
          <w:szCs w:val="20"/>
          <w:color w:val="auto"/>
        </w:rPr>
      </w:pPr>
      <w:r>
        <w:rPr>
          <w:rFonts w:ascii="Arial" w:cs="Arial" w:eastAsia="Arial" w:hAnsi="Arial"/>
          <w:sz w:val="16"/>
          <w:szCs w:val="16"/>
          <w:color w:val="auto"/>
        </w:rPr>
        <w:t>Exhibit 99.1</w:t>
      </w:r>
    </w:p>
    <w:p>
      <w:pPr>
        <w:spacing w:after="0" w:line="4" w:lineRule="exact"/>
        <w:rPr>
          <w:sz w:val="20"/>
          <w:szCs w:val="20"/>
          <w:color w:val="auto"/>
        </w:rPr>
      </w:pPr>
    </w:p>
    <w:p>
      <w:pPr>
        <w:jc w:val="center"/>
        <w:ind w:right="100"/>
        <w:spacing w:after="0" w:line="263" w:lineRule="auto"/>
        <w:rPr>
          <w:sz w:val="20"/>
          <w:szCs w:val="20"/>
          <w:color w:val="auto"/>
        </w:rPr>
      </w:pPr>
      <w:r>
        <w:rPr>
          <w:rFonts w:ascii="Arial" w:cs="Arial" w:eastAsia="Arial" w:hAnsi="Arial"/>
          <w:sz w:val="33"/>
          <w:szCs w:val="33"/>
          <w:b w:val="1"/>
          <w:bCs w:val="1"/>
          <w:color w:val="123758"/>
        </w:rPr>
        <w:t>UNIFI®, Makers of REPREVE®, Completes Sale of Non-Strategic U.S. Real Estate for Gross Proceeds of $60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714946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7"/>
          <w:szCs w:val="17"/>
          <w:i w:val="1"/>
          <w:iCs w:val="1"/>
          <w:color w:val="414141"/>
        </w:rPr>
        <w:t>Transaction advances balance sheet transformation and financial flexibility while preserving current operations and customer service</w:t>
      </w:r>
    </w:p>
    <w:p>
      <w:pPr>
        <w:spacing w:after="0" w:line="82" w:lineRule="exact"/>
        <w:rPr>
          <w:sz w:val="20"/>
          <w:szCs w:val="20"/>
          <w:color w:val="auto"/>
        </w:rPr>
      </w:pPr>
    </w:p>
    <w:p>
      <w:pPr>
        <w:jc w:val="both"/>
        <w:ind w:right="100"/>
        <w:spacing w:after="0" w:line="247" w:lineRule="auto"/>
        <w:rPr>
          <w:sz w:val="20"/>
          <w:szCs w:val="20"/>
          <w:color w:val="auto"/>
        </w:rPr>
      </w:pPr>
      <w:r>
        <w:rPr>
          <w:rFonts w:ascii="Arial" w:cs="Arial" w:eastAsia="Arial" w:hAnsi="Arial"/>
          <w:sz w:val="16"/>
          <w:szCs w:val="16"/>
          <w:b w:val="1"/>
          <w:bCs w:val="1"/>
          <w:color w:val="auto"/>
        </w:rPr>
        <w:t xml:space="preserve">GREENSBORO, N.C. - </w:t>
      </w:r>
      <w:r>
        <w:rPr>
          <w:rFonts w:ascii="Arial" w:cs="Arial" w:eastAsia="Arial" w:hAnsi="Arial"/>
          <w:sz w:val="16"/>
          <w:szCs w:val="16"/>
          <w:color w:val="auto"/>
        </w:rPr>
        <w:t>UNIFI, Inc. (NYSE: UFI) (together with its consolidated subsidiaries, “UNIFI”), the makers of REPREVE® and one of the world’s leading</w:t>
      </w:r>
      <w:r>
        <w:rPr>
          <w:rFonts w:ascii="Arial" w:cs="Arial" w:eastAsia="Arial" w:hAnsi="Arial"/>
          <w:sz w:val="16"/>
          <w:szCs w:val="16"/>
          <w:b w:val="1"/>
          <w:bCs w:val="1"/>
          <w:color w:val="auto"/>
        </w:rPr>
        <w:t xml:space="preserve"> </w:t>
      </w:r>
      <w:r>
        <w:rPr>
          <w:rFonts w:ascii="Arial" w:cs="Arial" w:eastAsia="Arial" w:hAnsi="Arial"/>
          <w:sz w:val="16"/>
          <w:szCs w:val="16"/>
          <w:color w:val="auto"/>
        </w:rPr>
        <w:t>innovators in recycled and synthetic yarns, today announced that it has completed the previously disclosed sale of two non-strategic real estate assets in Yadkin County, North Carolina for $60 million in gross proceeds, before fees and expenses.</w:t>
      </w:r>
    </w:p>
    <w:p>
      <w:pPr>
        <w:spacing w:after="0" w:line="61" w:lineRule="exact"/>
        <w:rPr>
          <w:sz w:val="20"/>
          <w:szCs w:val="20"/>
          <w:color w:val="auto"/>
        </w:rPr>
      </w:pPr>
    </w:p>
    <w:p>
      <w:pPr>
        <w:ind w:right="380"/>
        <w:spacing w:after="0" w:line="246" w:lineRule="auto"/>
        <w:rPr>
          <w:sz w:val="20"/>
          <w:szCs w:val="20"/>
          <w:color w:val="auto"/>
        </w:rPr>
      </w:pPr>
      <w:r>
        <w:rPr>
          <w:rFonts w:ascii="Arial" w:cs="Arial" w:eastAsia="Arial" w:hAnsi="Arial"/>
          <w:sz w:val="16"/>
          <w:szCs w:val="16"/>
          <w:color w:val="auto"/>
        </w:rPr>
        <w:t>The assets sold include approximately 120 acres of land and 500,000 square feet of warehouse space across two operating locations in Yadkin County. The transaction is expected to have no impact to UNIFI’s production capacity, minimal operational impact, and no change in serving customers from the Yadkin County campus.</w:t>
      </w:r>
    </w:p>
    <w:p>
      <w:pPr>
        <w:spacing w:after="0" w:line="6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Net proceeds from the transaction were used to fully repay the existing $55.5 million term loan balance, and the closing represents a meaningful transformation of the business to further enable sustainable, long-term shareholder value creation.</w:t>
      </w:r>
    </w:p>
    <w:p>
      <w:pPr>
        <w:spacing w:after="0" w:line="51" w:lineRule="exact"/>
        <w:rPr>
          <w:sz w:val="20"/>
          <w:szCs w:val="20"/>
          <w:color w:val="auto"/>
        </w:rPr>
      </w:pPr>
    </w:p>
    <w:p>
      <w:pPr>
        <w:ind w:right="100"/>
        <w:spacing w:after="0" w:line="239" w:lineRule="auto"/>
        <w:rPr>
          <w:sz w:val="20"/>
          <w:szCs w:val="20"/>
          <w:color w:val="auto"/>
        </w:rPr>
      </w:pPr>
      <w:r>
        <w:rPr>
          <w:rFonts w:ascii="Arial" w:cs="Arial" w:eastAsia="Arial" w:hAnsi="Arial"/>
          <w:sz w:val="16"/>
          <w:szCs w:val="16"/>
          <w:color w:val="auto"/>
        </w:rPr>
        <w:t>“Completing this transaction is a landmark accomplishment for UNIFI and a powerful validation of our transformation strategy,” said Eddie Ingle, Chief Executive Officer of UNIFI, Inc. “We have successfully realized substantial value from assets outside our long-term strategic focus while preserving the production capacity and customer service capabilities that differentiate our business. The transaction strengthens our balance sheet, significantly reduces debt, enhances liquidity, and provides the flexibility to invest in innovation, growth, and operational excellence. We believe UNIFI is now better positioned to deliver sustainable profitable growth and create meaningful long-term value for our shareholders.”</w:t>
      </w:r>
    </w:p>
    <w:p>
      <w:pPr>
        <w:spacing w:after="0" w:line="66"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The transaction was originally announced on August 17, 2026. Additional information regarding the transaction will be included in a Current Report on Form 8-K to be filed by UNIFI with the U.S. Securities and Exchange Commission.</w:t>
      </w:r>
    </w:p>
    <w:p>
      <w:pPr>
        <w:spacing w:after="0" w:line="42" w:lineRule="exact"/>
        <w:rPr>
          <w:sz w:val="20"/>
          <w:szCs w:val="20"/>
          <w:color w:val="auto"/>
        </w:rPr>
      </w:pPr>
    </w:p>
    <w:p>
      <w:pPr>
        <w:spacing w:after="0"/>
        <w:rPr>
          <w:sz w:val="20"/>
          <w:szCs w:val="20"/>
          <w:color w:val="auto"/>
        </w:rPr>
      </w:pPr>
      <w:r>
        <w:rPr>
          <w:rFonts w:ascii="Arial" w:cs="Arial" w:eastAsia="Arial" w:hAnsi="Arial"/>
          <w:sz w:val="19"/>
          <w:szCs w:val="19"/>
          <w:b w:val="1"/>
          <w:bCs w:val="1"/>
          <w:color w:val="123758"/>
        </w:rPr>
        <w:t>About UNIFI</w:t>
      </w:r>
    </w:p>
    <w:p>
      <w:pPr>
        <w:spacing w:after="0" w:line="62" w:lineRule="exact"/>
        <w:rPr>
          <w:sz w:val="20"/>
          <w:szCs w:val="20"/>
          <w:color w:val="auto"/>
        </w:rPr>
      </w:pPr>
    </w:p>
    <w:p>
      <w:pPr>
        <w:ind w:right="100"/>
        <w:spacing w:after="0" w:line="239" w:lineRule="auto"/>
        <w:rPr>
          <w:sz w:val="20"/>
          <w:szCs w:val="20"/>
          <w:color w:val="auto"/>
        </w:rPr>
      </w:pPr>
      <w:r>
        <w:rPr>
          <w:rFonts w:ascii="Arial" w:cs="Arial" w:eastAsia="Arial" w:hAnsi="Arial"/>
          <w:sz w:val="16"/>
          <w:szCs w:val="16"/>
          <w:color w:val="auto"/>
        </w:rPr>
        <w:t>UNIFI, Inc. (NYSE: UFI) is a global leader in fiber science and sustainable synthetic textiles. Using proprietary recycling technology, UNIFI is a pioneer in scaling the transformation of post-industrial and post-consumer waste into sustainable products. Through REPREVE, the world’s leading brand of traceable, recycled fiber and resin, UNIFI is changing the way industries think about the materials they use - and reuse. A vertically integrated manufacturer, the company has direct operations in the United States, Colombia, El Salvador, and Brazil, and sales offices around the world. UNIFI envisions a future where circular and sustainable solutions are the only choice. For more information about UNIFI, visit www.UNIFI.com.</w:t>
      </w:r>
    </w:p>
    <w:p>
      <w:pPr>
        <w:spacing w:after="0" w:line="57" w:lineRule="exact"/>
        <w:rPr>
          <w:sz w:val="20"/>
          <w:szCs w:val="20"/>
          <w:color w:val="auto"/>
        </w:rPr>
      </w:pPr>
    </w:p>
    <w:p>
      <w:pPr>
        <w:spacing w:after="0"/>
        <w:rPr>
          <w:sz w:val="20"/>
          <w:szCs w:val="20"/>
          <w:color w:val="auto"/>
        </w:rPr>
      </w:pPr>
      <w:r>
        <w:rPr>
          <w:rFonts w:ascii="Arial" w:cs="Arial" w:eastAsia="Arial" w:hAnsi="Arial"/>
          <w:sz w:val="19"/>
          <w:szCs w:val="19"/>
          <w:b w:val="1"/>
          <w:bCs w:val="1"/>
          <w:color w:val="123758"/>
        </w:rPr>
        <w:t>Cautionary Statement on Forward-Looking Statements</w:t>
      </w:r>
    </w:p>
    <w:p>
      <w:pPr>
        <w:spacing w:after="0" w:line="74" w:lineRule="exact"/>
        <w:rPr>
          <w:sz w:val="20"/>
          <w:szCs w:val="20"/>
          <w:color w:val="auto"/>
        </w:rPr>
      </w:pPr>
    </w:p>
    <w:p>
      <w:pPr>
        <w:ind w:right="60"/>
        <w:spacing w:after="0" w:line="237" w:lineRule="auto"/>
        <w:rPr>
          <w:sz w:val="20"/>
          <w:szCs w:val="20"/>
          <w:color w:val="auto"/>
        </w:rPr>
      </w:pPr>
      <w:r>
        <w:rPr>
          <w:rFonts w:ascii="Arial" w:cs="Arial" w:eastAsia="Arial" w:hAnsi="Arial"/>
          <w:sz w:val="16"/>
          <w:szCs w:val="16"/>
          <w:color w:val="auto"/>
        </w:rPr>
        <w:t>Certain statements included herein contain “forward-looking statements” within the meaning of federal securities laws. Forward-looking statements include statements regarding the expected use of transaction proceeds, debt reduction, operating impacts, financial flexibility, future performance, and long-term value creation. These statements are based on management’s current beliefs, assumptions, and expectations and are not guarantees of future performance. Actual results may differ materially due to risks and uncertainties described in UNIFI’s most recent Annual Report on Form 10-K and other reports filed from time to time with the U.S. Securities and Exchange Commission. Forward-looking statements speak only as of the date made, and UNIFI undertakes no obligation to update them except as required by law.</w:t>
      </w:r>
    </w:p>
    <w:p>
      <w:pPr>
        <w:spacing w:after="0" w:line="60" w:lineRule="exact"/>
        <w:rPr>
          <w:sz w:val="20"/>
          <w:szCs w:val="20"/>
          <w:color w:val="auto"/>
        </w:rPr>
      </w:pPr>
    </w:p>
    <w:p>
      <w:pPr>
        <w:spacing w:after="0"/>
        <w:rPr>
          <w:sz w:val="20"/>
          <w:szCs w:val="20"/>
          <w:color w:val="auto"/>
        </w:rPr>
      </w:pPr>
      <w:r>
        <w:rPr>
          <w:rFonts w:ascii="Arial" w:cs="Arial" w:eastAsia="Arial" w:hAnsi="Arial"/>
          <w:sz w:val="19"/>
          <w:szCs w:val="19"/>
          <w:b w:val="1"/>
          <w:bCs w:val="1"/>
          <w:color w:val="123758"/>
        </w:rPr>
        <w:t>Investor Contact</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Josh Carroll or Chris Hodges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Alpha IR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681990</wp:posOffset>
            </wp:positionV>
            <wp:extent cx="71748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58" w:right="31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312-445-2870</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UFI@alpha-ir.com</w:t>
      </w:r>
    </w:p>
    <w:p>
      <w:pPr>
        <w:spacing w:after="0" w:line="72" w:lineRule="exact"/>
        <w:rPr>
          <w:sz w:val="20"/>
          <w:szCs w:val="20"/>
          <w:color w:val="auto"/>
        </w:rPr>
      </w:pPr>
    </w:p>
    <w:p>
      <w:pPr>
        <w:jc w:val="right"/>
        <w:ind w:right="4379"/>
        <w:spacing w:after="0"/>
        <w:rPr>
          <w:sz w:val="20"/>
          <w:szCs w:val="20"/>
          <w:color w:val="auto"/>
        </w:rPr>
      </w:pPr>
      <w:r>
        <w:rPr>
          <w:rFonts w:ascii="Arial" w:cs="Arial" w:eastAsia="Arial" w:hAnsi="Arial"/>
          <w:sz w:val="16"/>
          <w:szCs w:val="16"/>
          <w:b w:val="1"/>
          <w:bCs w:val="1"/>
          <w:color w:val="123758"/>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586740</wp:posOffset>
            </wp:positionV>
            <wp:extent cx="7174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39"/>
          </w:cols>
          <w:pgMar w:left="320" w:top="858" w:right="1440" w:bottom="1440" w:gutter="0" w:footer="0" w:header="0"/>
        </w:sectPr>
      </w:pPr>
    </w:p>
    <w:bookmarkStart w:id="6" w:name="page7"/>
    <w:bookmarkEnd w:id="6"/>
    <w:p>
      <w:pPr>
        <w:spacing w:after="0" w:line="3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1081405" cy="4057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081405" cy="405765"/>
                    </a:xfrm>
                    <a:prstGeom prst="rect">
                      <a:avLst/>
                    </a:prstGeom>
                    <a:noFill/>
                  </pic:spPr>
                </pic:pic>
              </a:graphicData>
            </a:graphic>
          </wp:anchor>
        </w:drawing>
      </w:r>
    </w:p>
    <w:p>
      <w:pPr>
        <w:ind w:left="10560"/>
        <w:spacing w:after="0"/>
        <w:rPr>
          <w:sz w:val="20"/>
          <w:szCs w:val="20"/>
          <w:color w:val="auto"/>
        </w:rPr>
      </w:pPr>
      <w:r>
        <w:rPr>
          <w:rFonts w:ascii="Arial" w:cs="Arial" w:eastAsia="Arial" w:hAnsi="Arial"/>
          <w:sz w:val="12"/>
          <w:szCs w:val="12"/>
          <w:b w:val="1"/>
          <w:bCs w:val="1"/>
          <w:u w:val="single" w:color="auto"/>
          <w:color w:val="auto"/>
        </w:rPr>
        <w:t>Exhibit 99.2</w:t>
      </w:r>
    </w:p>
    <w:p>
      <w:pPr>
        <w:spacing w:after="0" w:line="192" w:lineRule="exact"/>
        <w:rPr>
          <w:sz w:val="20"/>
          <w:szCs w:val="20"/>
          <w:color w:val="auto"/>
        </w:rPr>
      </w:pPr>
    </w:p>
    <w:p>
      <w:pPr>
        <w:jc w:val="center"/>
        <w:ind w:right="60"/>
        <w:spacing w:after="0" w:line="288" w:lineRule="auto"/>
        <w:rPr>
          <w:sz w:val="20"/>
          <w:szCs w:val="20"/>
          <w:color w:val="auto"/>
        </w:rPr>
      </w:pPr>
      <w:r>
        <w:rPr>
          <w:rFonts w:ascii="Arial" w:cs="Arial" w:eastAsia="Arial" w:hAnsi="Arial"/>
          <w:sz w:val="20"/>
          <w:szCs w:val="20"/>
          <w:b w:val="1"/>
          <w:bCs w:val="1"/>
          <w:u w:val="single" w:color="auto"/>
          <w:color w:val="auto"/>
        </w:rPr>
        <w:t>UNIFI</w:t>
      </w:r>
      <w:r>
        <w:rPr>
          <w:rFonts w:ascii="Arial" w:cs="Arial" w:eastAsia="Arial" w:hAnsi="Arial"/>
          <w:sz w:val="13"/>
          <w:szCs w:val="13"/>
          <w:b w:val="1"/>
          <w:bCs w:val="1"/>
          <w:u w:val="single" w:color="auto"/>
          <w:color w:val="auto"/>
        </w:rPr>
        <w:t>®</w:t>
      </w:r>
      <w:r>
        <w:rPr>
          <w:rFonts w:ascii="Arial" w:cs="Arial" w:eastAsia="Arial" w:hAnsi="Arial"/>
          <w:sz w:val="20"/>
          <w:szCs w:val="20"/>
          <w:b w:val="1"/>
          <w:bCs w:val="1"/>
          <w:u w:val="single" w:color="auto"/>
          <w:color w:val="auto"/>
        </w:rPr>
        <w:t>, Makers of REPREVE</w:t>
      </w:r>
      <w:r>
        <w:rPr>
          <w:rFonts w:ascii="Arial" w:cs="Arial" w:eastAsia="Arial" w:hAnsi="Arial"/>
          <w:sz w:val="13"/>
          <w:szCs w:val="13"/>
          <w:b w:val="1"/>
          <w:bCs w:val="1"/>
          <w:u w:val="single" w:color="auto"/>
          <w:color w:val="auto"/>
        </w:rPr>
        <w:t>®</w:t>
      </w:r>
      <w:r>
        <w:rPr>
          <w:rFonts w:ascii="Arial" w:cs="Arial" w:eastAsia="Arial" w:hAnsi="Arial"/>
          <w:sz w:val="20"/>
          <w:szCs w:val="20"/>
          <w:b w:val="1"/>
          <w:bCs w:val="1"/>
          <w:u w:val="single" w:color="auto"/>
          <w:color w:val="auto"/>
        </w:rPr>
        <w:t>, Reports Strong Gross Margin and Cash Generation in First Quarter Fiscal 2027 Results, and Closing of a $60 Million Non-Strategic Asset Sale to Eliminate an Outstanding $55.5 Million Term Loan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Strategic initiatives drive continued improvement in profitability, cash flow generation and balance sheet strength</w:t>
      </w:r>
    </w:p>
    <w:p>
      <w:pPr>
        <w:spacing w:after="0" w:line="358" w:lineRule="exact"/>
        <w:rPr>
          <w:sz w:val="20"/>
          <w:szCs w:val="20"/>
          <w:color w:val="auto"/>
        </w:rPr>
      </w:pPr>
    </w:p>
    <w:p>
      <w:pPr>
        <w:ind w:right="20"/>
        <w:spacing w:after="0" w:line="217" w:lineRule="auto"/>
        <w:rPr>
          <w:sz w:val="20"/>
          <w:szCs w:val="20"/>
          <w:color w:val="auto"/>
        </w:rPr>
      </w:pPr>
      <w:r>
        <w:rPr>
          <w:rFonts w:ascii="Arial" w:cs="Arial" w:eastAsia="Arial" w:hAnsi="Arial"/>
          <w:sz w:val="16"/>
          <w:szCs w:val="16"/>
          <w:b w:val="1"/>
          <w:bCs w:val="1"/>
          <w:color w:val="auto"/>
        </w:rPr>
        <w:t xml:space="preserve">GREENSBORO, N.C., October 29, 2026 – </w:t>
      </w:r>
      <w:r>
        <w:rPr>
          <w:rFonts w:ascii="Arial" w:cs="Arial" w:eastAsia="Arial" w:hAnsi="Arial"/>
          <w:sz w:val="16"/>
          <w:szCs w:val="16"/>
          <w:color w:val="auto"/>
        </w:rPr>
        <w:t>Unifi, Inc. (NYSE: UFI), the makers of REPREVE</w:t>
      </w:r>
      <w:r>
        <w:rPr>
          <w:rFonts w:ascii="Arial" w:cs="Arial" w:eastAsia="Arial" w:hAnsi="Arial"/>
          <w:sz w:val="21"/>
          <w:szCs w:val="21"/>
          <w:color w:val="auto"/>
          <w:vertAlign w:val="superscript"/>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and one of the world’s leading innovators in recycled and synthetic</w:t>
      </w:r>
      <w:r>
        <w:rPr>
          <w:rFonts w:ascii="Arial" w:cs="Arial" w:eastAsia="Arial" w:hAnsi="Arial"/>
          <w:sz w:val="16"/>
          <w:szCs w:val="16"/>
          <w:b w:val="1"/>
          <w:bCs w:val="1"/>
          <w:color w:val="auto"/>
        </w:rPr>
        <w:t xml:space="preserve"> </w:t>
      </w:r>
      <w:r>
        <w:rPr>
          <w:rFonts w:ascii="Arial" w:cs="Arial" w:eastAsia="Arial" w:hAnsi="Arial"/>
          <w:sz w:val="16"/>
          <w:szCs w:val="16"/>
          <w:color w:val="auto"/>
        </w:rPr>
        <w:t>yarns, today released operating results for the first fiscal quarter ended September 27, 2026.</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Highlights</w:t>
      </w:r>
    </w:p>
    <w:p>
      <w:pPr>
        <w:spacing w:after="0" w:line="66" w:lineRule="exact"/>
        <w:rPr>
          <w:sz w:val="20"/>
          <w:szCs w:val="20"/>
          <w:color w:val="auto"/>
        </w:rPr>
      </w:pPr>
    </w:p>
    <w:p>
      <w:pPr>
        <w:ind w:left="880" w:hanging="375"/>
        <w:spacing w:after="0"/>
        <w:tabs>
          <w:tab w:leader="none" w:pos="88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Net sales were $127.9 million, a decrease of 5.7% from the first quarter of fiscal 2026.</w:t>
      </w:r>
    </w:p>
    <w:p>
      <w:pPr>
        <w:spacing w:after="0" w:line="63" w:lineRule="exact"/>
        <w:rPr>
          <w:rFonts w:ascii="Times New Roman" w:cs="Times New Roman" w:eastAsia="Times New Roman" w:hAnsi="Times New Roman"/>
          <w:sz w:val="16"/>
          <w:szCs w:val="16"/>
          <w:color w:val="auto"/>
        </w:rPr>
      </w:pPr>
    </w:p>
    <w:p>
      <w:pPr>
        <w:ind w:left="880" w:hanging="375"/>
        <w:spacing w:after="0" w:line="260" w:lineRule="auto"/>
        <w:tabs>
          <w:tab w:leader="none" w:pos="88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Revenues from REPREVE Fiber products were $36.4 million and represented 29% of net sales, compared to $39.3 million or 29% of net sales for the first quarter of fiscal 2026.</w:t>
      </w:r>
    </w:p>
    <w:p>
      <w:pPr>
        <w:spacing w:after="0" w:line="14" w:lineRule="exact"/>
        <w:rPr>
          <w:rFonts w:ascii="Times New Roman" w:cs="Times New Roman" w:eastAsia="Times New Roman" w:hAnsi="Times New Roman"/>
          <w:sz w:val="16"/>
          <w:szCs w:val="16"/>
          <w:color w:val="auto"/>
        </w:rPr>
      </w:pPr>
    </w:p>
    <w:p>
      <w:pPr>
        <w:ind w:left="880" w:hanging="375"/>
        <w:spacing w:after="0" w:line="260" w:lineRule="auto"/>
        <w:tabs>
          <w:tab w:leader="none" w:pos="88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Gross profit was $12.5 million and gross margin was 9.8%, compared to gross profit of $3.4 million and gross margin of 2.5% for the first quarter of fiscal 2026.</w:t>
      </w:r>
    </w:p>
    <w:p>
      <w:pPr>
        <w:spacing w:after="0" w:line="26" w:lineRule="exact"/>
        <w:rPr>
          <w:rFonts w:ascii="Times New Roman" w:cs="Times New Roman" w:eastAsia="Times New Roman" w:hAnsi="Times New Roman"/>
          <w:sz w:val="16"/>
          <w:szCs w:val="16"/>
          <w:color w:val="auto"/>
        </w:rPr>
      </w:pPr>
    </w:p>
    <w:p>
      <w:pPr>
        <w:ind w:left="880" w:hanging="375"/>
        <w:spacing w:after="0"/>
        <w:tabs>
          <w:tab w:leader="none" w:pos="88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SG&amp;A expenses were $11.5 million, a decrease of 4.1% from the first quarter of fiscal 2026, primarily driven by cost reduction efforts.</w:t>
      </w:r>
    </w:p>
    <w:p>
      <w:pPr>
        <w:spacing w:after="0" w:line="63" w:lineRule="exact"/>
        <w:rPr>
          <w:rFonts w:ascii="Times New Roman" w:cs="Times New Roman" w:eastAsia="Times New Roman" w:hAnsi="Times New Roman"/>
          <w:sz w:val="16"/>
          <w:szCs w:val="16"/>
          <w:color w:val="auto"/>
        </w:rPr>
      </w:pPr>
    </w:p>
    <w:p>
      <w:pPr>
        <w:ind w:left="880" w:hanging="375"/>
        <w:spacing w:after="0"/>
        <w:tabs>
          <w:tab w:leader="none" w:pos="88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Net loss was $2.0 million, or $0.11 per share, compared to a net loss of $11.4 million, or $0.62 per share, for the first quarter of fiscal 2026.</w:t>
      </w:r>
    </w:p>
    <w:p>
      <w:pPr>
        <w:spacing w:after="0" w:line="63" w:lineRule="exact"/>
        <w:rPr>
          <w:rFonts w:ascii="Times New Roman" w:cs="Times New Roman" w:eastAsia="Times New Roman" w:hAnsi="Times New Roman"/>
          <w:sz w:val="16"/>
          <w:szCs w:val="16"/>
          <w:color w:val="auto"/>
        </w:rPr>
      </w:pPr>
    </w:p>
    <w:p>
      <w:pPr>
        <w:ind w:left="880" w:hanging="375"/>
        <w:spacing w:after="0"/>
        <w:tabs>
          <w:tab w:leader="none" w:pos="88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Adjusted EBITDA* was $6.1 million, compared to a loss of $(2.5) million for the first quarter of fiscal 2026.</w:t>
      </w:r>
    </w:p>
    <w:p>
      <w:pPr>
        <w:spacing w:after="0" w:line="75" w:lineRule="exact"/>
        <w:rPr>
          <w:rFonts w:ascii="Times New Roman" w:cs="Times New Roman" w:eastAsia="Times New Roman" w:hAnsi="Times New Roman"/>
          <w:sz w:val="16"/>
          <w:szCs w:val="16"/>
          <w:color w:val="auto"/>
        </w:rPr>
      </w:pPr>
    </w:p>
    <w:p>
      <w:pPr>
        <w:ind w:left="880" w:hanging="375"/>
        <w:spacing w:after="0" w:line="260" w:lineRule="auto"/>
        <w:tabs>
          <w:tab w:leader="none" w:pos="88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Cash provided by operating activities was $3.7 million during the first quarter of fiscal 2027, marking the fourth consecutive quarter of positive cash generation.</w:t>
      </w:r>
    </w:p>
    <w:p>
      <w:pPr>
        <w:spacing w:after="0" w:line="14" w:lineRule="exact"/>
        <w:rPr>
          <w:rFonts w:ascii="Times New Roman" w:cs="Times New Roman" w:eastAsia="Times New Roman" w:hAnsi="Times New Roman"/>
          <w:sz w:val="16"/>
          <w:szCs w:val="16"/>
          <w:color w:val="auto"/>
        </w:rPr>
      </w:pPr>
    </w:p>
    <w:p>
      <w:pPr>
        <w:ind w:left="880" w:hanging="375"/>
        <w:spacing w:after="0"/>
        <w:tabs>
          <w:tab w:leader="none" w:pos="88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Debt principal was $90.9 million and Net Debt* was $64.8 million at September 27, 2026.</w:t>
      </w:r>
    </w:p>
    <w:p>
      <w:pPr>
        <w:spacing w:after="0" w:line="75" w:lineRule="exact"/>
        <w:rPr>
          <w:rFonts w:ascii="Times New Roman" w:cs="Times New Roman" w:eastAsia="Times New Roman" w:hAnsi="Times New Roman"/>
          <w:sz w:val="16"/>
          <w:szCs w:val="16"/>
          <w:color w:val="auto"/>
        </w:rPr>
      </w:pPr>
    </w:p>
    <w:p>
      <w:pPr>
        <w:ind w:left="880" w:right="20" w:hanging="375"/>
        <w:spacing w:after="0" w:line="224" w:lineRule="auto"/>
        <w:tabs>
          <w:tab w:leader="none" w:pos="88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Continued efforts across innovation and traceability through the introductions of Cofira</w:t>
      </w:r>
      <w:r>
        <w:rPr>
          <w:rFonts w:ascii="Arial" w:cs="Arial" w:eastAsia="Arial" w:hAnsi="Arial"/>
          <w:sz w:val="21"/>
          <w:szCs w:val="21"/>
          <w:color w:val="auto"/>
          <w:vertAlign w:val="superscript"/>
        </w:rPr>
        <w:t>TM</w:t>
      </w:r>
      <w:r>
        <w:rPr>
          <w:rFonts w:ascii="Arial" w:cs="Arial" w:eastAsia="Arial" w:hAnsi="Arial"/>
          <w:sz w:val="16"/>
          <w:szCs w:val="16"/>
          <w:color w:val="auto"/>
        </w:rPr>
        <w:t>, a versatile dual function yarn, Resist2O</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Pro, an advanced water-resistant yarn, and YarnProof</w:t>
      </w:r>
      <w:r>
        <w:rPr>
          <w:rFonts w:ascii="Arial" w:cs="Arial" w:eastAsia="Arial" w:hAnsi="Arial"/>
          <w:sz w:val="21"/>
          <w:szCs w:val="21"/>
          <w:color w:val="auto"/>
          <w:vertAlign w:val="superscript"/>
        </w:rPr>
        <w:t>TM</w:t>
      </w:r>
      <w:r>
        <w:rPr>
          <w:rFonts w:ascii="Arial" w:cs="Arial" w:eastAsia="Arial" w:hAnsi="Arial"/>
          <w:sz w:val="16"/>
          <w:szCs w:val="16"/>
          <w:color w:val="auto"/>
        </w:rPr>
        <w:t>, supporting compliance with yarn-forward requirements in North and Central America.</w:t>
      </w:r>
    </w:p>
    <w:p>
      <w:pPr>
        <w:ind w:left="880" w:right="20" w:hanging="375"/>
        <w:spacing w:after="0" w:line="241" w:lineRule="auto"/>
        <w:tabs>
          <w:tab w:leader="none" w:pos="88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On October 28, 2026, a previously announced sale of non-strategic real estate assets was completed with gross proceeds of $60.0 million, allowing for the full payoff of an existing term loan balance of $55.5 million.</w:t>
      </w:r>
    </w:p>
    <w:p>
      <w:pPr>
        <w:spacing w:after="0" w:line="89"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Eddie Ingle, Chief Executive Officer of Unifi, Inc., stated, “Our results for the first quarter demonstrate the continued benefits of the actions that have been implemented to improve operational efficiency and enhance both our cash generation and profitability performance. This is evident by the significant increase in gross profit 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711200</wp:posOffset>
            </wp:positionV>
            <wp:extent cx="717486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1081405" cy="405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081405" cy="405765"/>
                    </a:xfrm>
                    <a:prstGeom prst="rect">
                      <a:avLst/>
                    </a:prstGeom>
                    <a:noFill/>
                  </pic:spPr>
                </pic:pic>
              </a:graphicData>
            </a:graphic>
          </wp:anchor>
        </w:drawing>
      </w:r>
    </w:p>
    <w:p>
      <w:pPr>
        <w:spacing w:after="0" w:line="247"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which highlights the improved earnings potential of our business and our progress towards building a more profitable operating platform. Additionally, the recent closing on the sale of two non-strategic assets represents another important milestone in our plan to reduce debt and strengthen the balance sheet, helping create greater financial flexibility as we continue to execute our strategic priorities.”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First Quarter Fiscal 2027 Compared to First Quarter Fiscal 2026</w:t>
      </w:r>
    </w:p>
    <w:p>
      <w:pPr>
        <w:spacing w:after="0" w:line="90"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Net sales decreased to $127.9 million from $135.7 million, primarily due to tepid customer ordering patterns in the Americas and Asia Segments stemming from geopolitical, trade, and tariff-related uncertainty, partially offset by higher sales from the Brazil Segment.</w:t>
      </w:r>
    </w:p>
    <w:p>
      <w:pPr>
        <w:spacing w:after="0" w:line="145"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Gross profit increased to $12.5 million from $3.4 million. Americas Segment gross profit increased by $6.4 million, primarily as a result of multi-year cost reduction efforts. Brazil Segment gross profit increased by $2.5 million, primarily due to favorable pricing dynamics and sales mix. Accordingly, operating loss, net loss, and Adjusted EBITDA all improved significantly.</w:t>
      </w:r>
    </w:p>
    <w:p>
      <w:pPr>
        <w:spacing w:after="0" w:line="15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Cash provided by operating activities was $3.7 million compared to cash used of $8.9 million, reflecting stronger earnings performance and continued working capital discipline.</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Net Debt* was $64.8 million as of September 27, 2026 compared to $67.4 million as of June 28, 2026.</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Outlook</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During fiscal 2027, the Company continues:</w:t>
      </w:r>
    </w:p>
    <w:p>
      <w:pPr>
        <w:spacing w:after="0" w:line="53" w:lineRule="exact"/>
        <w:rPr>
          <w:sz w:val="20"/>
          <w:szCs w:val="20"/>
          <w:color w:val="auto"/>
        </w:rPr>
      </w:pPr>
    </w:p>
    <w:p>
      <w:pPr>
        <w:ind w:left="880" w:hanging="375"/>
        <w:spacing w:after="0"/>
        <w:tabs>
          <w:tab w:leader="none" w:pos="88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To focus on leveraging the improved cost footprint while investing in innovation.</w:t>
      </w:r>
    </w:p>
    <w:p>
      <w:pPr>
        <w:spacing w:after="0" w:line="75" w:lineRule="exact"/>
        <w:rPr>
          <w:rFonts w:ascii="Times New Roman" w:cs="Times New Roman" w:eastAsia="Times New Roman" w:hAnsi="Times New Roman"/>
          <w:sz w:val="16"/>
          <w:szCs w:val="16"/>
          <w:color w:val="auto"/>
        </w:rPr>
      </w:pPr>
    </w:p>
    <w:p>
      <w:pPr>
        <w:ind w:left="880" w:right="20" w:hanging="375"/>
        <w:spacing w:after="0" w:line="260" w:lineRule="auto"/>
        <w:tabs>
          <w:tab w:leader="none" w:pos="88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Managing the balance sheet to ensure that the Company remains better positioned to capitalize on improved business conditions and grow over time.</w:t>
      </w:r>
    </w:p>
    <w:p>
      <w:pPr>
        <w:spacing w:after="0" w:line="14" w:lineRule="exact"/>
        <w:rPr>
          <w:rFonts w:ascii="Times New Roman" w:cs="Times New Roman" w:eastAsia="Times New Roman" w:hAnsi="Times New Roman"/>
          <w:sz w:val="16"/>
          <w:szCs w:val="16"/>
          <w:color w:val="auto"/>
        </w:rPr>
      </w:pPr>
    </w:p>
    <w:p>
      <w:pPr>
        <w:ind w:left="880" w:hanging="375"/>
        <w:spacing w:after="0" w:line="260" w:lineRule="auto"/>
        <w:tabs>
          <w:tab w:leader="none" w:pos="88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To expect sales and profitability to improve from fiscal 2026 as the Company realizes full-year benefits from portfolio management actions, cost containment initiatives, and improved operating execution.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During the second quarter of fiscal 2027, the Company expects the following year-over-year factors:</w:t>
      </w:r>
    </w:p>
    <w:p>
      <w:pPr>
        <w:spacing w:after="0" w:line="53" w:lineRule="exact"/>
        <w:rPr>
          <w:sz w:val="20"/>
          <w:szCs w:val="20"/>
          <w:color w:val="auto"/>
        </w:rPr>
      </w:pPr>
    </w:p>
    <w:p>
      <w:pPr>
        <w:ind w:left="880" w:hanging="375"/>
        <w:spacing w:after="0"/>
        <w:tabs>
          <w:tab w:leader="none" w:pos="88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Cost savings and stable demand aid the Americas Segment.</w:t>
      </w:r>
    </w:p>
    <w:p>
      <w:pPr>
        <w:spacing w:after="0" w:line="75" w:lineRule="exact"/>
        <w:rPr>
          <w:rFonts w:ascii="Times New Roman" w:cs="Times New Roman" w:eastAsia="Times New Roman" w:hAnsi="Times New Roman"/>
          <w:sz w:val="16"/>
          <w:szCs w:val="16"/>
          <w:color w:val="auto"/>
        </w:rPr>
      </w:pPr>
    </w:p>
    <w:p>
      <w:pPr>
        <w:ind w:left="880" w:hanging="375"/>
        <w:spacing w:after="0"/>
        <w:tabs>
          <w:tab w:leader="none" w:pos="88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Brazil Segment sales and profitability should be consistent, while raw material inflation pressures will negatively impact working capital.</w:t>
      </w:r>
    </w:p>
    <w:p>
      <w:pPr>
        <w:spacing w:after="0" w:line="63" w:lineRule="exact"/>
        <w:rPr>
          <w:rFonts w:ascii="Times New Roman" w:cs="Times New Roman" w:eastAsia="Times New Roman" w:hAnsi="Times New Roman"/>
          <w:sz w:val="16"/>
          <w:szCs w:val="16"/>
          <w:color w:val="auto"/>
        </w:rPr>
      </w:pPr>
    </w:p>
    <w:p>
      <w:pPr>
        <w:ind w:left="880" w:right="20" w:hanging="375"/>
        <w:spacing w:after="0" w:line="260" w:lineRule="auto"/>
        <w:tabs>
          <w:tab w:leader="none" w:pos="88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The Asia Segment will remain pressured due to regional softness and geopolitical volatility, but profitability should remain stable given the asset light business model in the region.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704215</wp:posOffset>
            </wp:positionV>
            <wp:extent cx="717486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1081405" cy="405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081405" cy="405765"/>
                    </a:xfrm>
                    <a:prstGeom prst="rect">
                      <a:avLst/>
                    </a:prstGeom>
                    <a:noFill/>
                  </pic:spPr>
                </pic:pic>
              </a:graphicData>
            </a:graphic>
          </wp:anchor>
        </w:drawing>
      </w:r>
    </w:p>
    <w:p>
      <w:pPr>
        <w:spacing w:after="0" w:line="212" w:lineRule="exact"/>
        <w:rPr>
          <w:sz w:val="20"/>
          <w:szCs w:val="20"/>
          <w:color w:val="auto"/>
        </w:rPr>
      </w:pPr>
    </w:p>
    <w:p>
      <w:pPr>
        <w:jc w:val="both"/>
        <w:ind w:left="5" w:right="20"/>
        <w:spacing w:after="0" w:line="241" w:lineRule="auto"/>
        <w:rPr>
          <w:sz w:val="20"/>
          <w:szCs w:val="20"/>
          <w:color w:val="auto"/>
        </w:rPr>
      </w:pPr>
      <w:r>
        <w:rPr>
          <w:rFonts w:ascii="Arial" w:cs="Arial" w:eastAsia="Arial" w:hAnsi="Arial"/>
          <w:sz w:val="16"/>
          <w:szCs w:val="16"/>
          <w:color w:val="auto"/>
        </w:rPr>
        <w:t>Ingle concluded, “Looking ahead, we remain focused on sustaining the operational improvements that we have made over the last few years. At the same time, we continue to invest in our platform of sustainable solutions, centered on our many REPREVE offerings, and to advance the adoption of innovative solutions that will help drive future growth. While near-term market and geopolitical headwinds persist, we remain confident that we are on the right path to returning Unifi to sustainable growth and enhanced profitability.”</w:t>
      </w:r>
    </w:p>
    <w:p>
      <w:pPr>
        <w:spacing w:after="0" w:line="72" w:lineRule="exact"/>
        <w:rPr>
          <w:sz w:val="20"/>
          <w:szCs w:val="20"/>
          <w:color w:val="auto"/>
        </w:rPr>
      </w:pPr>
    </w:p>
    <w:p>
      <w:pPr>
        <w:ind w:left="5" w:hanging="5"/>
        <w:spacing w:after="0" w:line="230" w:lineRule="auto"/>
        <w:tabs>
          <w:tab w:leader="none" w:pos="254" w:val="left"/>
        </w:tabs>
        <w:numPr>
          <w:ilvl w:val="0"/>
          <w:numId w:val="12"/>
        </w:numPr>
        <w:rPr>
          <w:rFonts w:ascii="Arial" w:cs="Arial" w:eastAsia="Arial" w:hAnsi="Arial"/>
          <w:sz w:val="16"/>
          <w:szCs w:val="16"/>
          <w:color w:val="auto"/>
        </w:rPr>
      </w:pPr>
      <w:r>
        <w:rPr>
          <w:rFonts w:ascii="Arial" w:cs="Arial" w:eastAsia="Arial" w:hAnsi="Arial"/>
          <w:sz w:val="13"/>
          <w:szCs w:val="13"/>
          <w:color w:val="auto"/>
        </w:rPr>
        <w:t>Adjusted Net Loss, Adjusted EBITDA, and Net Debt are non-GAAP financial measures. The schedules included in this press release reconcile each non-GAAP financial measure to its most directly comparable GAAP financial measure.</w:t>
      </w:r>
    </w:p>
    <w:p>
      <w:pPr>
        <w:spacing w:after="0" w:line="121" w:lineRule="exact"/>
        <w:rPr>
          <w:sz w:val="20"/>
          <w:szCs w:val="20"/>
          <w:color w:val="auto"/>
        </w:rPr>
      </w:pPr>
    </w:p>
    <w:p>
      <w:pPr>
        <w:ind w:left="5"/>
        <w:spacing w:after="0"/>
        <w:rPr>
          <w:sz w:val="20"/>
          <w:szCs w:val="20"/>
          <w:color w:val="auto"/>
        </w:rPr>
      </w:pPr>
      <w:r>
        <w:rPr>
          <w:rFonts w:ascii="Arial" w:cs="Arial" w:eastAsia="Arial" w:hAnsi="Arial"/>
          <w:sz w:val="16"/>
          <w:szCs w:val="16"/>
          <w:b w:val="1"/>
          <w:bCs w:val="1"/>
          <w:u w:val="single" w:color="auto"/>
          <w:color w:val="auto"/>
        </w:rPr>
        <w:t>First Quarter Fiscal 2027 Earnings Conference Call</w:t>
      </w:r>
    </w:p>
    <w:p>
      <w:pPr>
        <w:spacing w:after="0" w:line="90" w:lineRule="exact"/>
        <w:rPr>
          <w:sz w:val="20"/>
          <w:szCs w:val="20"/>
          <w:color w:val="auto"/>
        </w:rPr>
      </w:pPr>
    </w:p>
    <w:p>
      <w:pPr>
        <w:jc w:val="both"/>
        <w:ind w:left="5" w:right="20"/>
        <w:spacing w:after="0" w:line="237" w:lineRule="auto"/>
        <w:rPr>
          <w:sz w:val="20"/>
          <w:szCs w:val="20"/>
          <w:color w:val="auto"/>
        </w:rPr>
      </w:pPr>
      <w:r>
        <w:rPr>
          <w:rFonts w:ascii="Arial" w:cs="Arial" w:eastAsia="Arial" w:hAnsi="Arial"/>
          <w:sz w:val="16"/>
          <w:szCs w:val="16"/>
          <w:color w:val="auto"/>
        </w:rPr>
        <w:t>UNIFI will provide additional commentary regarding its first quarter fiscal 2027 results and other developments during its earnings conference call on October 30, 2026, at 9:00 a.m., Eastern Time. The call can be accessed via a live audio webcast on UNIFI’s website at http://investor.unifi.com. Additional supporting materials and information related to the call will also be available on UNIFI’s website.</w:t>
      </w:r>
    </w:p>
    <w:p>
      <w:pPr>
        <w:jc w:val="center"/>
        <w:ind w:right="-4"/>
        <w:spacing w:after="0" w:line="232" w:lineRule="auto"/>
        <w:rPr>
          <w:sz w:val="20"/>
          <w:szCs w:val="20"/>
          <w:color w:val="auto"/>
        </w:rPr>
      </w:pPr>
      <w:r>
        <w:rPr>
          <w:rFonts w:ascii="Arial" w:cs="Arial" w:eastAsia="Arial" w:hAnsi="Arial"/>
          <w:sz w:val="16"/>
          <w:szCs w:val="16"/>
          <w:color w:val="auto"/>
        </w:rPr>
        <w:t>###</w:t>
      </w:r>
    </w:p>
    <w:p>
      <w:pPr>
        <w:spacing w:after="0" w:line="1" w:lineRule="exact"/>
        <w:rPr>
          <w:sz w:val="20"/>
          <w:szCs w:val="20"/>
          <w:color w:val="auto"/>
        </w:rPr>
      </w:pPr>
    </w:p>
    <w:p>
      <w:pPr>
        <w:ind w:left="5"/>
        <w:spacing w:after="0"/>
        <w:rPr>
          <w:sz w:val="20"/>
          <w:szCs w:val="20"/>
          <w:color w:val="auto"/>
        </w:rPr>
      </w:pPr>
      <w:r>
        <w:rPr>
          <w:rFonts w:ascii="Arial" w:cs="Arial" w:eastAsia="Arial" w:hAnsi="Arial"/>
          <w:sz w:val="16"/>
          <w:szCs w:val="16"/>
          <w:b w:val="1"/>
          <w:bCs w:val="1"/>
          <w:u w:val="single" w:color="auto"/>
          <w:color w:val="auto"/>
        </w:rPr>
        <w:t>About UNIFI</w:t>
      </w:r>
    </w:p>
    <w:p>
      <w:pPr>
        <w:spacing w:after="0" w:line="74" w:lineRule="exact"/>
        <w:rPr>
          <w:sz w:val="20"/>
          <w:szCs w:val="20"/>
          <w:color w:val="auto"/>
        </w:rPr>
      </w:pPr>
    </w:p>
    <w:p>
      <w:pPr>
        <w:jc w:val="both"/>
        <w:ind w:left="5"/>
        <w:spacing w:after="0" w:line="239" w:lineRule="auto"/>
        <w:rPr>
          <w:sz w:val="20"/>
          <w:szCs w:val="20"/>
          <w:color w:val="auto"/>
        </w:rPr>
      </w:pPr>
      <w:r>
        <w:rPr>
          <w:rFonts w:ascii="Arial" w:cs="Arial" w:eastAsia="Arial" w:hAnsi="Arial"/>
          <w:sz w:val="16"/>
          <w:szCs w:val="16"/>
          <w:color w:val="auto"/>
        </w:rPr>
        <w:t xml:space="preserve">UNIFI, Inc. (NYSE: UFI) is a global leader in fiber science and sustainable synthetic textiles. Using proprietary recycling technology, UNIFI is a pioneer in scaling the transformation of post-industrial and post-consumer waste into sustainable products. Through REPREVE, the world’s leading brand of traceable, recycled fiber and resin, UNIFI is changing the way industries think about the materials they use – and reuse. A vertically-integrated manufacturer, the company has direct operations in the United States, Colombia, El Salvador, and Brazil, and sales offices all over the world. UNIFI envisions a future where circular and sustainable solutions are the only choice. For more information about UNIFI, visit </w:t>
      </w:r>
      <w:r>
        <w:rPr>
          <w:rFonts w:ascii="Arial" w:cs="Arial" w:eastAsia="Arial" w:hAnsi="Arial"/>
          <w:sz w:val="16"/>
          <w:szCs w:val="16"/>
          <w:u w:val="single" w:color="auto"/>
          <w:color w:val="0000FF"/>
        </w:rPr>
        <w:t>www.unifi.com</w:t>
      </w:r>
      <w:r>
        <w:rPr>
          <w:rFonts w:ascii="Arial" w:cs="Arial" w:eastAsia="Arial" w:hAnsi="Arial"/>
          <w:sz w:val="16"/>
          <w:szCs w:val="16"/>
          <w:color w:val="auto"/>
        </w:rPr>
        <w:t>.</w:t>
      </w:r>
    </w:p>
    <w:p>
      <w:pPr>
        <w:spacing w:after="0" w:line="75" w:lineRule="exact"/>
        <w:rPr>
          <w:sz w:val="20"/>
          <w:szCs w:val="20"/>
          <w:color w:val="auto"/>
        </w:rPr>
      </w:pPr>
    </w:p>
    <w:p>
      <w:pPr>
        <w:ind w:left="5"/>
        <w:spacing w:after="0"/>
        <w:rPr>
          <w:sz w:val="20"/>
          <w:szCs w:val="20"/>
          <w:color w:val="auto"/>
        </w:rPr>
      </w:pPr>
      <w:r>
        <w:rPr>
          <w:rFonts w:ascii="Arial" w:cs="Arial" w:eastAsia="Arial" w:hAnsi="Arial"/>
          <w:sz w:val="16"/>
          <w:szCs w:val="16"/>
          <w:b w:val="1"/>
          <w:bCs w:val="1"/>
          <w:u w:val="single" w:color="auto"/>
          <w:color w:val="auto"/>
        </w:rPr>
        <w:t>About REPREVE</w:t>
      </w:r>
      <w:r>
        <w:rPr>
          <w:rFonts w:ascii="Arial" w:cs="Arial" w:eastAsia="Arial" w:hAnsi="Arial"/>
          <w:sz w:val="21"/>
          <w:szCs w:val="21"/>
          <w:b w:val="1"/>
          <w:bCs w:val="1"/>
          <w:u w:val="single" w:color="auto"/>
          <w:color w:val="auto"/>
          <w:vertAlign w:val="superscript"/>
        </w:rPr>
        <w:t>®</w:t>
      </w:r>
    </w:p>
    <w:p>
      <w:pPr>
        <w:spacing w:after="0" w:line="51" w:lineRule="exact"/>
        <w:rPr>
          <w:sz w:val="20"/>
          <w:szCs w:val="20"/>
          <w:color w:val="auto"/>
        </w:rPr>
      </w:pPr>
    </w:p>
    <w:p>
      <w:pPr>
        <w:jc w:val="both"/>
        <w:ind w:left="5" w:right="20"/>
        <w:spacing w:after="0" w:line="237" w:lineRule="auto"/>
        <w:rPr>
          <w:sz w:val="20"/>
          <w:szCs w:val="20"/>
          <w:color w:val="auto"/>
        </w:rPr>
      </w:pPr>
      <w:r>
        <w:rPr>
          <w:rFonts w:ascii="Arial" w:cs="Arial" w:eastAsia="Arial" w:hAnsi="Arial"/>
          <w:sz w:val="16"/>
          <w:szCs w:val="16"/>
          <w:color w:val="auto"/>
        </w:rPr>
        <w:t>Made by UNIFI, Inc. (NYSE: UFI), REPREVE® is the global leader in recycled performance fibers and resins. Using proprietary recycling technology, REPREVE leverages multiple waste sources, including single-use plastic bottles, ocean -bound plastic, textile waste, and recycled yarn. REPREVE has transformed more than 46 billion plastic bottles and 1 billion T-shirts’ worth of textile waste into recycled fiber, powering globally scalable products for world-leading brands. Made traceable with FiberPrint® technology and certified by U-TRUST®, REPREVE spans apparel, footwear, furnishings, industrial, medical, military, mobility, and packaging. For more information about REPREVE, visit www.repreve.com.</w:t>
      </w:r>
    </w:p>
    <w:p>
      <w:pPr>
        <w:spacing w:after="0" w:line="29"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Contact information:</w:t>
      </w:r>
    </w:p>
    <w:p>
      <w:pPr>
        <w:spacing w:after="0" w:line="3" w:lineRule="exact"/>
        <w:rPr>
          <w:sz w:val="20"/>
          <w:szCs w:val="20"/>
          <w:color w:val="auto"/>
        </w:rPr>
      </w:pPr>
    </w:p>
    <w:p>
      <w:pPr>
        <w:ind w:left="5"/>
        <w:spacing w:after="0"/>
        <w:rPr>
          <w:sz w:val="20"/>
          <w:szCs w:val="20"/>
          <w:color w:val="auto"/>
        </w:rPr>
      </w:pPr>
      <w:r>
        <w:rPr>
          <w:rFonts w:ascii="Arial" w:cs="Arial" w:eastAsia="Arial" w:hAnsi="Arial"/>
          <w:sz w:val="16"/>
          <w:szCs w:val="16"/>
          <w:color w:val="auto"/>
        </w:rPr>
        <w:t>Chris Hodges or Josh Carroll</w:t>
      </w:r>
    </w:p>
    <w:p>
      <w:pPr>
        <w:ind w:left="5"/>
        <w:spacing w:after="0" w:line="231" w:lineRule="auto"/>
        <w:rPr>
          <w:sz w:val="20"/>
          <w:szCs w:val="20"/>
          <w:color w:val="auto"/>
        </w:rPr>
      </w:pPr>
      <w:r>
        <w:rPr>
          <w:rFonts w:ascii="Arial" w:cs="Arial" w:eastAsia="Arial" w:hAnsi="Arial"/>
          <w:sz w:val="16"/>
          <w:szCs w:val="16"/>
          <w:color w:val="auto"/>
        </w:rPr>
        <w:t>Alpha IR Group</w:t>
      </w:r>
    </w:p>
    <w:p>
      <w:pPr>
        <w:ind w:left="5"/>
        <w:spacing w:after="0" w:line="231" w:lineRule="auto"/>
        <w:rPr>
          <w:sz w:val="20"/>
          <w:szCs w:val="20"/>
          <w:color w:val="auto"/>
        </w:rPr>
      </w:pPr>
      <w:r>
        <w:rPr>
          <w:rFonts w:ascii="Arial" w:cs="Arial" w:eastAsia="Arial" w:hAnsi="Arial"/>
          <w:sz w:val="16"/>
          <w:szCs w:val="16"/>
          <w:color w:val="auto"/>
        </w:rPr>
        <w:t>312-445-2870</w:t>
      </w:r>
    </w:p>
    <w:p>
      <w:pPr>
        <w:spacing w:after="0" w:line="1" w:lineRule="exact"/>
        <w:rPr>
          <w:sz w:val="20"/>
          <w:szCs w:val="20"/>
          <w:color w:val="auto"/>
        </w:rPr>
      </w:pPr>
    </w:p>
    <w:p>
      <w:pPr>
        <w:ind w:left="5"/>
        <w:spacing w:after="0"/>
        <w:rPr>
          <w:sz w:val="20"/>
          <w:szCs w:val="20"/>
          <w:color w:val="auto"/>
        </w:rPr>
      </w:pPr>
      <w:r>
        <w:rPr>
          <w:rFonts w:ascii="Arial" w:cs="Arial" w:eastAsia="Arial" w:hAnsi="Arial"/>
          <w:sz w:val="16"/>
          <w:szCs w:val="16"/>
          <w:color w:val="auto"/>
        </w:rPr>
        <w:t>UFI@alpha-ir.com</w:t>
      </w:r>
    </w:p>
    <w:p>
      <w:pPr>
        <w:spacing w:after="0" w:line="145"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Financial Statements, Business Segment Information and Reconciliations of Reported Results to Adjusted Results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841375</wp:posOffset>
            </wp:positionV>
            <wp:extent cx="717486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440" w:right="319" w:bottom="1440" w:gutter="0" w:footer="0" w:header="0"/>
        </w:sectPr>
      </w:pPr>
    </w:p>
    <w:bookmarkStart w:id="9" w:name="page10"/>
    <w:bookmarkEnd w:id="9"/>
    <w:p>
      <w:pPr>
        <w:spacing w:after="0" w:line="3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1081405" cy="4057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081405" cy="40576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3"/>
          <w:szCs w:val="13"/>
          <w:b w:val="1"/>
          <w:bCs w:val="1"/>
          <w:color w:val="auto"/>
        </w:rPr>
        <w:t>CONDENSED CONSOLIDATED STATEMENTS OF OPERATIONS</w:t>
      </w:r>
    </w:p>
    <w:p>
      <w:pPr>
        <w:jc w:val="center"/>
        <w:ind w:right="20"/>
        <w:spacing w:after="0" w:line="234" w:lineRule="auto"/>
        <w:rPr>
          <w:sz w:val="20"/>
          <w:szCs w:val="20"/>
          <w:color w:val="auto"/>
        </w:rPr>
      </w:pPr>
      <w:r>
        <w:rPr>
          <w:rFonts w:ascii="Arial" w:cs="Arial" w:eastAsia="Arial" w:hAnsi="Arial"/>
          <w:sz w:val="13"/>
          <w:szCs w:val="13"/>
          <w:b w:val="1"/>
          <w:bCs w:val="1"/>
          <w:color w:val="auto"/>
        </w:rPr>
        <w:t>(Unaudited)</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(In thousands, except per share amounts)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80" w:type="dxa"/>
            <w:vAlign w:val="bottom"/>
            <w:gridSpan w:val="6"/>
          </w:tcPr>
          <w:p>
            <w:pPr>
              <w:jc w:val="right"/>
              <w:ind w:right="1240"/>
              <w:spacing w:after="0"/>
              <w:rPr>
                <w:sz w:val="20"/>
                <w:szCs w:val="20"/>
                <w:color w:val="auto"/>
              </w:rPr>
            </w:pPr>
            <w:r>
              <w:rPr>
                <w:rFonts w:ascii="Arial" w:cs="Arial" w:eastAsia="Arial" w:hAnsi="Arial"/>
                <w:sz w:val="13"/>
                <w:szCs w:val="13"/>
                <w:b w:val="1"/>
                <w:bCs w:val="1"/>
                <w:color w:val="auto"/>
              </w:rPr>
              <w:t>For the Three Months Ended</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640" w:type="dxa"/>
            <w:vAlign w:val="bottom"/>
            <w:tcBorders>
              <w:top w:val="single" w:sz="8" w:color="auto"/>
              <w:bottom w:val="single" w:sz="8" w:color="auto"/>
            </w:tcBorders>
          </w:tcPr>
          <w:p>
            <w:pPr>
              <w:jc w:val="right"/>
              <w:ind w:right="277"/>
              <w:spacing w:after="0" w:line="134" w:lineRule="exact"/>
              <w:rPr>
                <w:sz w:val="20"/>
                <w:szCs w:val="20"/>
                <w:color w:val="auto"/>
              </w:rPr>
            </w:pPr>
            <w:r>
              <w:rPr>
                <w:rFonts w:ascii="Arial" w:cs="Arial" w:eastAsia="Arial" w:hAnsi="Arial"/>
                <w:sz w:val="13"/>
                <w:szCs w:val="13"/>
                <w:b w:val="1"/>
                <w:bCs w:val="1"/>
                <w:color w:val="auto"/>
              </w:rPr>
              <w:t>September 27, 2026</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640" w:type="dxa"/>
            <w:vAlign w:val="bottom"/>
            <w:tcBorders>
              <w:top w:val="single" w:sz="8" w:color="auto"/>
              <w:bottom w:val="single" w:sz="8" w:color="auto"/>
            </w:tcBorders>
          </w:tcPr>
          <w:p>
            <w:pPr>
              <w:jc w:val="right"/>
              <w:ind w:right="277"/>
              <w:spacing w:after="0" w:line="134" w:lineRule="exact"/>
              <w:rPr>
                <w:sz w:val="20"/>
                <w:szCs w:val="20"/>
                <w:color w:val="auto"/>
              </w:rPr>
            </w:pPr>
            <w:r>
              <w:rPr>
                <w:rFonts w:ascii="Arial" w:cs="Arial" w:eastAsia="Arial" w:hAnsi="Arial"/>
                <w:sz w:val="13"/>
                <w:szCs w:val="13"/>
                <w:b w:val="1"/>
                <w:bCs w:val="1"/>
                <w:color w:val="auto"/>
              </w:rPr>
              <w:t>September 28, 2025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Net sales</w:t>
            </w:r>
          </w:p>
        </w:tc>
        <w:tc>
          <w:tcPr>
            <w:tcW w:w="2460" w:type="dxa"/>
            <w:vAlign w:val="bottom"/>
            <w:gridSpan w:val="2"/>
            <w:shd w:val="clear" w:color="auto" w:fill="CFF0FC"/>
          </w:tcPr>
          <w:p>
            <w:pPr>
              <w:jc w:val="right"/>
              <w:ind w:right="57"/>
              <w:spacing w:after="0" w:line="134" w:lineRule="exact"/>
              <w:rPr>
                <w:sz w:val="20"/>
                <w:szCs w:val="20"/>
                <w:color w:val="auto"/>
              </w:rPr>
            </w:pPr>
            <w:r>
              <w:rPr>
                <w:rFonts w:ascii="Arial" w:cs="Arial" w:eastAsia="Arial" w:hAnsi="Arial"/>
                <w:sz w:val="13"/>
                <w:szCs w:val="13"/>
                <w:color w:val="auto"/>
              </w:rPr>
              <w:t>$</w:t>
            </w:r>
          </w:p>
        </w:tc>
        <w:tc>
          <w:tcPr>
            <w:tcW w:w="164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127,920</w:t>
            </w:r>
          </w:p>
        </w:tc>
        <w:tc>
          <w:tcPr>
            <w:tcW w:w="16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57"/>
              <w:spacing w:after="0" w:line="134" w:lineRule="exact"/>
              <w:rPr>
                <w:sz w:val="20"/>
                <w:szCs w:val="20"/>
                <w:color w:val="auto"/>
              </w:rPr>
            </w:pPr>
            <w:r>
              <w:rPr>
                <w:rFonts w:ascii="Arial" w:cs="Arial" w:eastAsia="Arial" w:hAnsi="Arial"/>
                <w:sz w:val="13"/>
                <w:szCs w:val="13"/>
                <w:color w:val="auto"/>
              </w:rPr>
              <w:t>$</w:t>
            </w:r>
          </w:p>
        </w:tc>
        <w:tc>
          <w:tcPr>
            <w:tcW w:w="164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135,674</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920" w:type="dxa"/>
            <w:vAlign w:val="bottom"/>
            <w:gridSpan w:val="2"/>
          </w:tcPr>
          <w:p>
            <w:pPr>
              <w:spacing w:after="0" w:line="142" w:lineRule="exact"/>
              <w:rPr>
                <w:sz w:val="20"/>
                <w:szCs w:val="20"/>
                <w:color w:val="auto"/>
              </w:rPr>
            </w:pPr>
            <w:r>
              <w:rPr>
                <w:rFonts w:ascii="Arial" w:cs="Arial" w:eastAsia="Arial" w:hAnsi="Arial"/>
                <w:sz w:val="13"/>
                <w:szCs w:val="13"/>
                <w:color w:val="auto"/>
              </w:rPr>
              <w:t>Cost of sales</w:t>
            </w:r>
          </w:p>
        </w:tc>
        <w:tc>
          <w:tcPr>
            <w:tcW w:w="2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115,439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132,287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Gross profit</w:t>
            </w:r>
          </w:p>
        </w:tc>
        <w:tc>
          <w:tcPr>
            <w:tcW w:w="2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4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12,481</w:t>
            </w: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4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3,387</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line="142" w:lineRule="exact"/>
              <w:rPr>
                <w:sz w:val="20"/>
                <w:szCs w:val="20"/>
                <w:color w:val="auto"/>
              </w:rPr>
            </w:pPr>
            <w:r>
              <w:rPr>
                <w:rFonts w:ascii="Arial" w:cs="Arial" w:eastAsia="Arial" w:hAnsi="Arial"/>
                <w:sz w:val="13"/>
                <w:szCs w:val="13"/>
                <w:color w:val="auto"/>
              </w:rPr>
              <w:t>Selling, general and administrative expenses</w:t>
            </w:r>
          </w:p>
        </w:tc>
        <w:tc>
          <w:tcPr>
            <w:tcW w:w="2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jc w:val="right"/>
              <w:spacing w:after="0" w:line="142" w:lineRule="exact"/>
              <w:rPr>
                <w:sz w:val="20"/>
                <w:szCs w:val="20"/>
                <w:color w:val="auto"/>
              </w:rPr>
            </w:pPr>
            <w:r>
              <w:rPr>
                <w:rFonts w:ascii="Arial" w:cs="Arial" w:eastAsia="Arial" w:hAnsi="Arial"/>
                <w:sz w:val="13"/>
                <w:szCs w:val="13"/>
                <w:color w:val="auto"/>
              </w:rPr>
              <w:t>11,462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jc w:val="right"/>
              <w:spacing w:after="0" w:line="142" w:lineRule="exact"/>
              <w:rPr>
                <w:sz w:val="20"/>
                <w:szCs w:val="20"/>
                <w:color w:val="auto"/>
              </w:rPr>
            </w:pPr>
            <w:r>
              <w:rPr>
                <w:rFonts w:ascii="Arial" w:cs="Arial" w:eastAsia="Arial" w:hAnsi="Arial"/>
                <w:sz w:val="13"/>
                <w:szCs w:val="13"/>
                <w:color w:val="auto"/>
              </w:rPr>
              <w:t>11,948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Provision (benefit) for bad debts</w:t>
            </w:r>
          </w:p>
        </w:tc>
        <w:tc>
          <w:tcPr>
            <w:tcW w:w="2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568</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jc w:val="right"/>
              <w:ind w:right="80"/>
              <w:spacing w:after="0" w:line="142" w:lineRule="exact"/>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line="142" w:lineRule="exact"/>
              <w:rPr>
                <w:sz w:val="20"/>
                <w:szCs w:val="20"/>
                <w:color w:val="auto"/>
              </w:rPr>
            </w:pPr>
            <w:r>
              <w:rPr>
                <w:rFonts w:ascii="Arial" w:cs="Arial" w:eastAsia="Arial" w:hAnsi="Arial"/>
                <w:sz w:val="13"/>
                <w:szCs w:val="13"/>
                <w:color w:val="auto"/>
              </w:rPr>
              <w:t>Restructuring costs, net</w:t>
            </w:r>
          </w:p>
        </w:tc>
        <w:tc>
          <w:tcPr>
            <w:tcW w:w="2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jc w:val="right"/>
              <w:spacing w:after="0" w:line="142" w:lineRule="exact"/>
              <w:rPr>
                <w:sz w:val="20"/>
                <w:szCs w:val="20"/>
                <w:color w:val="auto"/>
              </w:rPr>
            </w:pPr>
            <w:r>
              <w:rPr>
                <w:rFonts w:ascii="Arial" w:cs="Arial" w:eastAsia="Arial" w:hAnsi="Arial"/>
                <w:sz w:val="13"/>
                <w:szCs w:val="13"/>
                <w:color w:val="auto"/>
              </w:rPr>
              <w:t>1,068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Borders>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Other operating expense, net</w:t>
            </w:r>
          </w:p>
        </w:tc>
        <w:tc>
          <w:tcPr>
            <w:tcW w:w="22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6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475</w:t>
            </w:r>
          </w:p>
        </w:tc>
        <w:tc>
          <w:tcPr>
            <w:tcW w:w="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6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70</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900" w:type="dxa"/>
            <w:vAlign w:val="bottom"/>
          </w:tcPr>
          <w:p>
            <w:pPr>
              <w:spacing w:after="0" w:line="134" w:lineRule="exact"/>
              <w:rPr>
                <w:sz w:val="20"/>
                <w:szCs w:val="20"/>
                <w:color w:val="auto"/>
              </w:rPr>
            </w:pPr>
            <w:r>
              <w:rPr>
                <w:rFonts w:ascii="Arial" w:cs="Arial" w:eastAsia="Arial" w:hAnsi="Arial"/>
                <w:sz w:val="13"/>
                <w:szCs w:val="13"/>
                <w:color w:val="auto"/>
              </w:rPr>
              <w:t>Operating loss</w:t>
            </w:r>
          </w:p>
        </w:tc>
        <w:tc>
          <w:tcPr>
            <w:tcW w:w="2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0" w:type="dxa"/>
            <w:vAlign w:val="bottom"/>
            <w:gridSpan w:val="2"/>
          </w:tcPr>
          <w:p>
            <w:pPr>
              <w:jc w:val="right"/>
              <w:ind w:right="120"/>
              <w:spacing w:after="0" w:line="134" w:lineRule="exact"/>
              <w:rPr>
                <w:sz w:val="20"/>
                <w:szCs w:val="20"/>
                <w:color w:val="auto"/>
              </w:rPr>
            </w:pPr>
            <w:r>
              <w:rPr>
                <w:rFonts w:ascii="Arial" w:cs="Arial" w:eastAsia="Arial" w:hAnsi="Arial"/>
                <w:sz w:val="13"/>
                <w:szCs w:val="13"/>
                <w:color w:val="auto"/>
              </w:rPr>
              <w:t>(24)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60" w:type="dxa"/>
            <w:vAlign w:val="bottom"/>
            <w:gridSpan w:val="2"/>
          </w:tcPr>
          <w:p>
            <w:pPr>
              <w:jc w:val="right"/>
              <w:ind w:right="80"/>
              <w:spacing w:after="0" w:line="134" w:lineRule="exact"/>
              <w:rPr>
                <w:sz w:val="20"/>
                <w:szCs w:val="20"/>
                <w:color w:val="auto"/>
              </w:rPr>
            </w:pPr>
            <w:r>
              <w:rPr>
                <w:rFonts w:ascii="Arial" w:cs="Arial" w:eastAsia="Arial" w:hAnsi="Arial"/>
                <w:sz w:val="13"/>
                <w:szCs w:val="13"/>
                <w:color w:val="auto"/>
              </w:rPr>
              <w:t>(9,630)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Interest income</w:t>
            </w:r>
          </w:p>
        </w:tc>
        <w:tc>
          <w:tcPr>
            <w:tcW w:w="2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120"/>
              <w:spacing w:after="0" w:line="142" w:lineRule="exact"/>
              <w:rPr>
                <w:sz w:val="20"/>
                <w:szCs w:val="20"/>
                <w:color w:val="auto"/>
              </w:rPr>
            </w:pPr>
            <w:r>
              <w:rPr>
                <w:rFonts w:ascii="Arial" w:cs="Arial" w:eastAsia="Arial" w:hAnsi="Arial"/>
                <w:sz w:val="13"/>
                <w:szCs w:val="13"/>
                <w:color w:val="auto"/>
              </w:rPr>
              <w:t>(470)</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jc w:val="right"/>
              <w:ind w:right="80"/>
              <w:spacing w:after="0" w:line="142" w:lineRule="exact"/>
              <w:rPr>
                <w:sz w:val="20"/>
                <w:szCs w:val="20"/>
                <w:color w:val="auto"/>
              </w:rPr>
            </w:pPr>
            <w:r>
              <w:rPr>
                <w:rFonts w:ascii="Arial" w:cs="Arial" w:eastAsia="Arial" w:hAnsi="Arial"/>
                <w:sz w:val="13"/>
                <w:szCs w:val="13"/>
                <w:color w:val="auto"/>
              </w:rPr>
              <w:t>(375)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line="142" w:lineRule="exact"/>
              <w:rPr>
                <w:sz w:val="20"/>
                <w:szCs w:val="20"/>
                <w:color w:val="auto"/>
              </w:rPr>
            </w:pPr>
            <w:r>
              <w:rPr>
                <w:rFonts w:ascii="Arial" w:cs="Arial" w:eastAsia="Arial" w:hAnsi="Arial"/>
                <w:sz w:val="13"/>
                <w:szCs w:val="13"/>
                <w:color w:val="auto"/>
              </w:rPr>
              <w:t>Interest expense</w:t>
            </w:r>
          </w:p>
        </w:tc>
        <w:tc>
          <w:tcPr>
            <w:tcW w:w="2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jc w:val="right"/>
              <w:spacing w:after="0" w:line="142" w:lineRule="exact"/>
              <w:rPr>
                <w:sz w:val="20"/>
                <w:szCs w:val="20"/>
                <w:color w:val="auto"/>
              </w:rPr>
            </w:pPr>
            <w:r>
              <w:rPr>
                <w:rFonts w:ascii="Arial" w:cs="Arial" w:eastAsia="Arial" w:hAnsi="Arial"/>
                <w:sz w:val="13"/>
                <w:szCs w:val="13"/>
                <w:color w:val="auto"/>
              </w:rPr>
              <w:t>1,449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jc w:val="right"/>
              <w:spacing w:after="0" w:line="142" w:lineRule="exact"/>
              <w:rPr>
                <w:sz w:val="20"/>
                <w:szCs w:val="20"/>
                <w:color w:val="auto"/>
              </w:rPr>
            </w:pPr>
            <w:r>
              <w:rPr>
                <w:rFonts w:ascii="Arial" w:cs="Arial" w:eastAsia="Arial" w:hAnsi="Arial"/>
                <w:sz w:val="13"/>
                <w:szCs w:val="13"/>
                <w:color w:val="auto"/>
              </w:rPr>
              <w:t>2,003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Equity in earnings of unconsolidated affiliate</w:t>
            </w:r>
          </w:p>
        </w:tc>
        <w:tc>
          <w:tcPr>
            <w:tcW w:w="2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120"/>
              <w:spacing w:after="0" w:line="142" w:lineRule="exact"/>
              <w:rPr>
                <w:sz w:val="20"/>
                <w:szCs w:val="20"/>
                <w:color w:val="auto"/>
              </w:rPr>
            </w:pPr>
            <w:r>
              <w:rPr>
                <w:rFonts w:ascii="Arial" w:cs="Arial" w:eastAsia="Arial" w:hAnsi="Arial"/>
                <w:sz w:val="13"/>
                <w:szCs w:val="13"/>
                <w:color w:val="auto"/>
              </w:rPr>
              <w:t>(20)</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jc w:val="right"/>
              <w:ind w:right="80"/>
              <w:spacing w:after="0" w:line="142" w:lineRule="exact"/>
              <w:rPr>
                <w:sz w:val="20"/>
                <w:szCs w:val="20"/>
                <w:color w:val="auto"/>
              </w:rPr>
            </w:pPr>
            <w:r>
              <w:rPr>
                <w:rFonts w:ascii="Arial" w:cs="Arial" w:eastAsia="Arial" w:hAnsi="Arial"/>
                <w:sz w:val="13"/>
                <w:szCs w:val="13"/>
                <w:color w:val="auto"/>
              </w:rPr>
              <w:t>(97)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00" w:type="dxa"/>
            <w:vAlign w:val="bottom"/>
            <w:shd w:val="clear" w:color="auto" w:fill="CFF0FC"/>
          </w:tcPr>
          <w:p>
            <w:pPr>
              <w:spacing w:after="0" w:line="20" w:lineRule="exact"/>
              <w:rPr>
                <w:sz w:val="1"/>
                <w:szCs w:val="1"/>
                <w:color w:val="auto"/>
              </w:rPr>
            </w:pPr>
          </w:p>
        </w:tc>
        <w:tc>
          <w:tcPr>
            <w:tcW w:w="2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continue"/>
          </w:tcPr>
          <w:p>
            <w:pPr>
              <w:spacing w:after="0"/>
              <w:rPr>
                <w:sz w:val="11"/>
                <w:szCs w:val="11"/>
                <w:color w:val="auto"/>
              </w:rPr>
            </w:pPr>
          </w:p>
        </w:tc>
        <w:tc>
          <w:tcPr>
            <w:tcW w:w="4900" w:type="dxa"/>
            <w:vAlign w:val="bottom"/>
          </w:tcPr>
          <w:p>
            <w:pPr>
              <w:spacing w:after="0" w:line="134" w:lineRule="exact"/>
              <w:rPr>
                <w:sz w:val="20"/>
                <w:szCs w:val="20"/>
                <w:color w:val="auto"/>
              </w:rPr>
            </w:pPr>
            <w:r>
              <w:rPr>
                <w:rFonts w:ascii="Arial" w:cs="Arial" w:eastAsia="Arial" w:hAnsi="Arial"/>
                <w:sz w:val="13"/>
                <w:szCs w:val="13"/>
                <w:color w:val="auto"/>
              </w:rPr>
              <w:t>Loss before income taxes</w:t>
            </w:r>
          </w:p>
        </w:tc>
        <w:tc>
          <w:tcPr>
            <w:tcW w:w="2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0" w:type="dxa"/>
            <w:vAlign w:val="bottom"/>
            <w:gridSpan w:val="2"/>
          </w:tcPr>
          <w:p>
            <w:pPr>
              <w:jc w:val="right"/>
              <w:ind w:right="120"/>
              <w:spacing w:after="0" w:line="134" w:lineRule="exact"/>
              <w:rPr>
                <w:sz w:val="20"/>
                <w:szCs w:val="20"/>
                <w:color w:val="auto"/>
              </w:rPr>
            </w:pPr>
            <w:r>
              <w:rPr>
                <w:rFonts w:ascii="Arial" w:cs="Arial" w:eastAsia="Arial" w:hAnsi="Arial"/>
                <w:sz w:val="13"/>
                <w:szCs w:val="13"/>
                <w:color w:val="auto"/>
              </w:rPr>
              <w:t>(983)</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60" w:type="dxa"/>
            <w:vAlign w:val="bottom"/>
            <w:gridSpan w:val="2"/>
          </w:tcPr>
          <w:p>
            <w:pPr>
              <w:jc w:val="right"/>
              <w:ind w:right="80"/>
              <w:spacing w:after="0" w:line="134" w:lineRule="exact"/>
              <w:rPr>
                <w:sz w:val="20"/>
                <w:szCs w:val="20"/>
                <w:color w:val="auto"/>
              </w:rPr>
            </w:pPr>
            <w:r>
              <w:rPr>
                <w:rFonts w:ascii="Arial" w:cs="Arial" w:eastAsia="Arial" w:hAnsi="Arial"/>
                <w:sz w:val="13"/>
                <w:szCs w:val="13"/>
                <w:color w:val="auto"/>
              </w:rPr>
              <w:t>(11,161)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Borders>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Provision for income taxes</w:t>
            </w:r>
          </w:p>
        </w:tc>
        <w:tc>
          <w:tcPr>
            <w:tcW w:w="22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6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1,037</w:t>
            </w:r>
          </w:p>
        </w:tc>
        <w:tc>
          <w:tcPr>
            <w:tcW w:w="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6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196</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920" w:type="dxa"/>
            <w:vAlign w:val="bottom"/>
            <w:gridSpan w:val="2"/>
          </w:tcPr>
          <w:p>
            <w:pPr>
              <w:spacing w:after="0" w:line="134" w:lineRule="exact"/>
              <w:rPr>
                <w:sz w:val="20"/>
                <w:szCs w:val="20"/>
                <w:color w:val="auto"/>
              </w:rPr>
            </w:pPr>
            <w:r>
              <w:rPr>
                <w:rFonts w:ascii="Arial" w:cs="Arial" w:eastAsia="Arial" w:hAnsi="Arial"/>
                <w:sz w:val="13"/>
                <w:szCs w:val="13"/>
                <w:color w:val="auto"/>
              </w:rPr>
              <w:t>Net loss</w:t>
            </w:r>
          </w:p>
        </w:tc>
        <w:tc>
          <w:tcPr>
            <w:tcW w:w="2260" w:type="dxa"/>
            <w:vAlign w:val="bottom"/>
          </w:tcPr>
          <w:p>
            <w:pPr>
              <w:spacing w:after="0"/>
              <w:rPr>
                <w:sz w:val="11"/>
                <w:szCs w:val="11"/>
                <w:color w:val="auto"/>
              </w:rPr>
            </w:pPr>
          </w:p>
        </w:tc>
        <w:tc>
          <w:tcPr>
            <w:tcW w:w="200" w:type="dxa"/>
            <w:vAlign w:val="bottom"/>
            <w:tcBorders>
              <w:bottom w:val="single" w:sz="8" w:color="auto"/>
            </w:tcBorders>
          </w:tcPr>
          <w:p>
            <w:pPr>
              <w:jc w:val="right"/>
              <w:ind w:right="57"/>
              <w:spacing w:after="0" w:line="122" w:lineRule="exact"/>
              <w:rPr>
                <w:sz w:val="20"/>
                <w:szCs w:val="20"/>
                <w:color w:val="auto"/>
              </w:rPr>
            </w:pPr>
            <w:r>
              <w:rPr>
                <w:rFonts w:ascii="Arial" w:cs="Arial" w:eastAsia="Arial" w:hAnsi="Arial"/>
                <w:sz w:val="13"/>
                <w:szCs w:val="13"/>
                <w:color w:val="auto"/>
                <w:w w:val="82"/>
              </w:rPr>
              <w:t>$</w:t>
            </w:r>
          </w:p>
        </w:tc>
        <w:tc>
          <w:tcPr>
            <w:tcW w:w="16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(2,020)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bottom w:val="single" w:sz="8" w:color="auto"/>
            </w:tcBorders>
          </w:tcPr>
          <w:p>
            <w:pPr>
              <w:jc w:val="right"/>
              <w:ind w:right="57"/>
              <w:spacing w:after="0" w:line="122" w:lineRule="exact"/>
              <w:rPr>
                <w:sz w:val="20"/>
                <w:szCs w:val="20"/>
                <w:color w:val="auto"/>
              </w:rPr>
            </w:pPr>
            <w:r>
              <w:rPr>
                <w:rFonts w:ascii="Arial" w:cs="Arial" w:eastAsia="Arial" w:hAnsi="Arial"/>
                <w:sz w:val="13"/>
                <w:szCs w:val="13"/>
                <w:color w:val="auto"/>
                <w:w w:val="82"/>
              </w:rPr>
              <w:t>$</w:t>
            </w:r>
          </w:p>
        </w:tc>
        <w:tc>
          <w:tcPr>
            <w:tcW w:w="16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(11,357)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92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vMerge w:val="restart"/>
          </w:tcPr>
          <w:p>
            <w:pPr>
              <w:spacing w:after="0"/>
              <w:rPr>
                <w:sz w:val="10"/>
                <w:szCs w:val="10"/>
                <w:color w:val="auto"/>
              </w:rPr>
            </w:pPr>
          </w:p>
        </w:tc>
        <w:tc>
          <w:tcPr>
            <w:tcW w:w="4900" w:type="dxa"/>
            <w:vAlign w:val="bottom"/>
            <w:shd w:val="clear" w:color="auto" w:fill="CFF0FC"/>
          </w:tcPr>
          <w:p>
            <w:pPr>
              <w:spacing w:after="0"/>
              <w:rPr>
                <w:sz w:val="10"/>
                <w:szCs w:val="10"/>
                <w:color w:val="auto"/>
              </w:rPr>
            </w:pPr>
          </w:p>
        </w:tc>
        <w:tc>
          <w:tcPr>
            <w:tcW w:w="22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4900" w:type="dxa"/>
            <w:vAlign w:val="bottom"/>
          </w:tcPr>
          <w:p>
            <w:pPr>
              <w:spacing w:after="0" w:line="142" w:lineRule="exact"/>
              <w:rPr>
                <w:sz w:val="20"/>
                <w:szCs w:val="20"/>
                <w:color w:val="auto"/>
              </w:rPr>
            </w:pPr>
            <w:r>
              <w:rPr>
                <w:rFonts w:ascii="Arial" w:cs="Arial" w:eastAsia="Arial" w:hAnsi="Arial"/>
                <w:sz w:val="13"/>
                <w:szCs w:val="13"/>
                <w:color w:val="auto"/>
              </w:rPr>
              <w:t>Net loss per common share:</w:t>
            </w:r>
          </w:p>
        </w:tc>
        <w:tc>
          <w:tcPr>
            <w:tcW w:w="2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Basic</w:t>
            </w:r>
          </w:p>
        </w:tc>
        <w:tc>
          <w:tcPr>
            <w:tcW w:w="2460" w:type="dxa"/>
            <w:vAlign w:val="bottom"/>
            <w:gridSpan w:val="2"/>
            <w:shd w:val="clear" w:color="auto" w:fill="CFF0FC"/>
          </w:tcPr>
          <w:p>
            <w:pPr>
              <w:jc w:val="right"/>
              <w:ind w:right="57"/>
              <w:spacing w:after="0" w:line="142" w:lineRule="exact"/>
              <w:rPr>
                <w:sz w:val="20"/>
                <w:szCs w:val="20"/>
                <w:color w:val="auto"/>
              </w:rPr>
            </w:pPr>
            <w:r>
              <w:rPr>
                <w:rFonts w:ascii="Arial" w:cs="Arial" w:eastAsia="Arial" w:hAnsi="Arial"/>
                <w:sz w:val="13"/>
                <w:szCs w:val="13"/>
                <w:color w:val="auto"/>
              </w:rPr>
              <w:t>$</w:t>
            </w:r>
          </w:p>
        </w:tc>
        <w:tc>
          <w:tcPr>
            <w:tcW w:w="1800" w:type="dxa"/>
            <w:vAlign w:val="bottom"/>
            <w:gridSpan w:val="2"/>
            <w:shd w:val="clear" w:color="auto" w:fill="CFF0FC"/>
          </w:tcPr>
          <w:p>
            <w:pPr>
              <w:jc w:val="right"/>
              <w:ind w:right="120"/>
              <w:spacing w:after="0" w:line="142" w:lineRule="exact"/>
              <w:rPr>
                <w:sz w:val="20"/>
                <w:szCs w:val="20"/>
                <w:color w:val="auto"/>
              </w:rPr>
            </w:pPr>
            <w:r>
              <w:rPr>
                <w:rFonts w:ascii="Arial" w:cs="Arial" w:eastAsia="Arial" w:hAnsi="Arial"/>
                <w:sz w:val="13"/>
                <w:szCs w:val="13"/>
                <w:color w:val="auto"/>
              </w:rPr>
              <w:t>(0.11)</w:t>
            </w:r>
          </w:p>
        </w:tc>
        <w:tc>
          <w:tcPr>
            <w:tcW w:w="320" w:type="dxa"/>
            <w:vAlign w:val="bottom"/>
            <w:gridSpan w:val="2"/>
            <w:shd w:val="clear" w:color="auto" w:fill="CFF0FC"/>
          </w:tcPr>
          <w:p>
            <w:pPr>
              <w:jc w:val="right"/>
              <w:ind w:right="57"/>
              <w:spacing w:after="0" w:line="142" w:lineRule="exact"/>
              <w:rPr>
                <w:sz w:val="20"/>
                <w:szCs w:val="20"/>
                <w:color w:val="auto"/>
              </w:rPr>
            </w:pPr>
            <w:r>
              <w:rPr>
                <w:rFonts w:ascii="Arial" w:cs="Arial" w:eastAsia="Arial" w:hAnsi="Arial"/>
                <w:sz w:val="13"/>
                <w:szCs w:val="13"/>
                <w:color w:val="auto"/>
              </w:rPr>
              <w:t>$</w:t>
            </w:r>
          </w:p>
        </w:tc>
        <w:tc>
          <w:tcPr>
            <w:tcW w:w="1760" w:type="dxa"/>
            <w:vAlign w:val="bottom"/>
            <w:gridSpan w:val="2"/>
            <w:shd w:val="clear" w:color="auto" w:fill="CFF0FC"/>
          </w:tcPr>
          <w:p>
            <w:pPr>
              <w:jc w:val="right"/>
              <w:ind w:right="80"/>
              <w:spacing w:after="0" w:line="142" w:lineRule="exact"/>
              <w:rPr>
                <w:sz w:val="20"/>
                <w:szCs w:val="20"/>
                <w:color w:val="auto"/>
              </w:rPr>
            </w:pPr>
            <w:r>
              <w:rPr>
                <w:rFonts w:ascii="Arial" w:cs="Arial" w:eastAsia="Arial" w:hAnsi="Arial"/>
                <w:sz w:val="13"/>
                <w:szCs w:val="13"/>
                <w:color w:val="auto"/>
              </w:rPr>
              <w:t>(0.62)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Arial" w:cs="Arial" w:eastAsia="Arial" w:hAnsi="Arial"/>
                <w:sz w:val="13"/>
                <w:szCs w:val="13"/>
                <w:color w:val="auto"/>
              </w:rPr>
              <w:t>Diluted</w:t>
            </w:r>
          </w:p>
        </w:tc>
        <w:tc>
          <w:tcPr>
            <w:tcW w:w="246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1800" w:type="dxa"/>
            <w:vAlign w:val="bottom"/>
            <w:gridSpan w:val="2"/>
          </w:tcPr>
          <w:p>
            <w:pPr>
              <w:jc w:val="right"/>
              <w:ind w:right="120"/>
              <w:spacing w:after="0"/>
              <w:rPr>
                <w:sz w:val="20"/>
                <w:szCs w:val="20"/>
                <w:color w:val="auto"/>
              </w:rPr>
            </w:pPr>
            <w:r>
              <w:rPr>
                <w:rFonts w:ascii="Arial" w:cs="Arial" w:eastAsia="Arial" w:hAnsi="Arial"/>
                <w:sz w:val="13"/>
                <w:szCs w:val="13"/>
                <w:color w:val="auto"/>
              </w:rPr>
              <w:t>(0.11)</w:t>
            </w:r>
          </w:p>
        </w:tc>
        <w:tc>
          <w:tcPr>
            <w:tcW w:w="32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1760" w:type="dxa"/>
            <w:vAlign w:val="bottom"/>
            <w:gridSpan w:val="2"/>
          </w:tcPr>
          <w:p>
            <w:pPr>
              <w:jc w:val="right"/>
              <w:ind w:right="80"/>
              <w:spacing w:after="0"/>
              <w:rPr>
                <w:sz w:val="20"/>
                <w:szCs w:val="20"/>
                <w:color w:val="auto"/>
              </w:rPr>
            </w:pPr>
            <w:r>
              <w:rPr>
                <w:rFonts w:ascii="Arial" w:cs="Arial" w:eastAsia="Arial" w:hAnsi="Arial"/>
                <w:sz w:val="13"/>
                <w:szCs w:val="13"/>
                <w:color w:val="auto"/>
              </w:rPr>
              <w:t>(0.62)</w:t>
            </w:r>
          </w:p>
        </w:tc>
        <w:tc>
          <w:tcPr>
            <w:tcW w:w="0" w:type="dxa"/>
            <w:vAlign w:val="bottom"/>
          </w:tcPr>
          <w:p>
            <w:pPr>
              <w:spacing w:after="0"/>
              <w:rPr>
                <w:sz w:val="1"/>
                <w:szCs w:val="1"/>
                <w:color w:val="auto"/>
              </w:rPr>
            </w:pPr>
          </w:p>
        </w:tc>
      </w:tr>
      <w:tr>
        <w:trPr>
          <w:trHeight w:val="118"/>
        </w:trPr>
        <w:tc>
          <w:tcPr>
            <w:tcW w:w="20" w:type="dxa"/>
            <w:vAlign w:val="bottom"/>
            <w:vMerge w:val="restart"/>
          </w:tcPr>
          <w:p>
            <w:pPr>
              <w:spacing w:after="0"/>
              <w:rPr>
                <w:sz w:val="10"/>
                <w:szCs w:val="10"/>
                <w:color w:val="auto"/>
              </w:rPr>
            </w:pPr>
          </w:p>
        </w:tc>
        <w:tc>
          <w:tcPr>
            <w:tcW w:w="490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490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Weighted average common shares outstanding:</w:t>
            </w:r>
          </w:p>
        </w:tc>
        <w:tc>
          <w:tcPr>
            <w:tcW w:w="2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line="142" w:lineRule="exact"/>
              <w:rPr>
                <w:sz w:val="20"/>
                <w:szCs w:val="20"/>
                <w:color w:val="auto"/>
              </w:rPr>
            </w:pPr>
            <w:r>
              <w:rPr>
                <w:rFonts w:ascii="Arial" w:cs="Arial" w:eastAsia="Arial" w:hAnsi="Arial"/>
                <w:sz w:val="13"/>
                <w:szCs w:val="13"/>
                <w:color w:val="auto"/>
              </w:rPr>
              <w:t>Basic</w:t>
            </w:r>
          </w:p>
        </w:tc>
        <w:tc>
          <w:tcPr>
            <w:tcW w:w="2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jc w:val="right"/>
              <w:spacing w:after="0" w:line="142" w:lineRule="exact"/>
              <w:rPr>
                <w:sz w:val="20"/>
                <w:szCs w:val="20"/>
                <w:color w:val="auto"/>
              </w:rPr>
            </w:pPr>
            <w:r>
              <w:rPr>
                <w:rFonts w:ascii="Arial" w:cs="Arial" w:eastAsia="Arial" w:hAnsi="Arial"/>
                <w:sz w:val="13"/>
                <w:szCs w:val="13"/>
                <w:color w:val="auto"/>
              </w:rPr>
              <w:t>18,588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jc w:val="right"/>
              <w:spacing w:after="0" w:line="142" w:lineRule="exact"/>
              <w:rPr>
                <w:sz w:val="20"/>
                <w:szCs w:val="20"/>
                <w:color w:val="auto"/>
              </w:rPr>
            </w:pPr>
            <w:r>
              <w:rPr>
                <w:rFonts w:ascii="Arial" w:cs="Arial" w:eastAsia="Arial" w:hAnsi="Arial"/>
                <w:sz w:val="13"/>
                <w:szCs w:val="13"/>
                <w:color w:val="auto"/>
              </w:rPr>
              <w:t>18,361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Diluted</w:t>
            </w:r>
          </w:p>
        </w:tc>
        <w:tc>
          <w:tcPr>
            <w:tcW w:w="2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18,588</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18,361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2"/>
        </w:trPr>
        <w:tc>
          <w:tcPr>
            <w:tcW w:w="2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5726430</wp:posOffset>
            </wp:positionH>
            <wp:positionV relativeFrom="paragraph">
              <wp:posOffset>-2267585</wp:posOffset>
            </wp:positionV>
            <wp:extent cx="6731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-2267585</wp:posOffset>
            </wp:positionV>
            <wp:extent cx="6731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5726430</wp:posOffset>
            </wp:positionH>
            <wp:positionV relativeFrom="paragraph">
              <wp:posOffset>-1899285</wp:posOffset>
            </wp:positionV>
            <wp:extent cx="6731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-1899285</wp:posOffset>
            </wp:positionV>
            <wp:extent cx="6731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5726430</wp:posOffset>
            </wp:positionH>
            <wp:positionV relativeFrom="paragraph">
              <wp:posOffset>-1711325</wp:posOffset>
            </wp:positionV>
            <wp:extent cx="6731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-1711325</wp:posOffset>
            </wp:positionV>
            <wp:extent cx="6731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0" w:name="page11"/>
    <w:bookmarkEnd w:id="10"/>
    <w:p>
      <w:pPr>
        <w:spacing w:after="0" w:line="3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1081405" cy="4057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081405" cy="40576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3"/>
          <w:szCs w:val="13"/>
          <w:b w:val="1"/>
          <w:bCs w:val="1"/>
          <w:color w:val="auto"/>
        </w:rPr>
        <w:t>CONDENSED CONSOLIDATED BALANCE SHEETS</w:t>
      </w:r>
    </w:p>
    <w:p>
      <w:pPr>
        <w:jc w:val="center"/>
        <w:ind w:right="20"/>
        <w:spacing w:after="0" w:line="234" w:lineRule="auto"/>
        <w:rPr>
          <w:sz w:val="20"/>
          <w:szCs w:val="20"/>
          <w:color w:val="auto"/>
        </w:rPr>
      </w:pPr>
      <w:r>
        <w:rPr>
          <w:rFonts w:ascii="Arial" w:cs="Arial" w:eastAsia="Arial" w:hAnsi="Arial"/>
          <w:sz w:val="13"/>
          <w:szCs w:val="13"/>
          <w:b w:val="1"/>
          <w:bCs w:val="1"/>
          <w:color w:val="auto"/>
        </w:rPr>
        <w:t>(Unaudited)</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September 27, 2026</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June 28, 2026</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840" w:type="dxa"/>
            <w:vAlign w:val="bottom"/>
            <w:shd w:val="clear" w:color="auto" w:fill="CFF0FC"/>
          </w:tcPr>
          <w:p>
            <w:pPr>
              <w:jc w:val="center"/>
              <w:ind w:left="837"/>
              <w:spacing w:after="0" w:line="134" w:lineRule="exact"/>
              <w:rPr>
                <w:sz w:val="20"/>
                <w:szCs w:val="20"/>
                <w:color w:val="auto"/>
              </w:rPr>
            </w:pPr>
            <w:r>
              <w:rPr>
                <w:rFonts w:ascii="Arial" w:cs="Arial" w:eastAsia="Arial" w:hAnsi="Arial"/>
                <w:sz w:val="13"/>
                <w:szCs w:val="13"/>
                <w:b w:val="1"/>
                <w:bCs w:val="1"/>
                <w:color w:val="auto"/>
                <w:w w:val="96"/>
              </w:rPr>
              <w:t>ASSETS</w:t>
            </w:r>
          </w:p>
        </w:tc>
        <w:tc>
          <w:tcPr>
            <w:tcW w:w="1120" w:type="dxa"/>
            <w:vAlign w:val="bottom"/>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174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162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line="142" w:lineRule="exact"/>
              <w:rPr>
                <w:sz w:val="20"/>
                <w:szCs w:val="20"/>
                <w:color w:val="auto"/>
              </w:rPr>
            </w:pPr>
            <w:r>
              <w:rPr>
                <w:rFonts w:ascii="Arial" w:cs="Arial" w:eastAsia="Arial" w:hAnsi="Arial"/>
                <w:sz w:val="13"/>
                <w:szCs w:val="13"/>
                <w:color w:val="auto"/>
              </w:rPr>
              <w:t>Cash and cash equivalents</w:t>
            </w:r>
          </w:p>
        </w:tc>
        <w:tc>
          <w:tcPr>
            <w:tcW w:w="1340" w:type="dxa"/>
            <w:vAlign w:val="bottom"/>
            <w:gridSpan w:val="2"/>
          </w:tcPr>
          <w:p>
            <w:pPr>
              <w:jc w:val="right"/>
              <w:ind w:right="77"/>
              <w:spacing w:after="0" w:line="142" w:lineRule="exact"/>
              <w:rPr>
                <w:sz w:val="20"/>
                <w:szCs w:val="20"/>
                <w:color w:val="auto"/>
              </w:rPr>
            </w:pPr>
            <w:r>
              <w:rPr>
                <w:rFonts w:ascii="Arial" w:cs="Arial" w:eastAsia="Arial" w:hAnsi="Arial"/>
                <w:sz w:val="13"/>
                <w:szCs w:val="13"/>
                <w:color w:val="auto"/>
              </w:rPr>
              <w:t>$</w:t>
            </w:r>
          </w:p>
        </w:tc>
        <w:tc>
          <w:tcPr>
            <w:tcW w:w="1740" w:type="dxa"/>
            <w:vAlign w:val="bottom"/>
          </w:tcPr>
          <w:p>
            <w:pPr>
              <w:jc w:val="right"/>
              <w:spacing w:after="0" w:line="142" w:lineRule="exact"/>
              <w:rPr>
                <w:sz w:val="20"/>
                <w:szCs w:val="20"/>
                <w:color w:val="auto"/>
              </w:rPr>
            </w:pPr>
            <w:r>
              <w:rPr>
                <w:rFonts w:ascii="Arial" w:cs="Arial" w:eastAsia="Arial" w:hAnsi="Arial"/>
                <w:sz w:val="13"/>
                <w:szCs w:val="13"/>
                <w:color w:val="auto"/>
              </w:rPr>
              <w:t>26,091</w:t>
            </w:r>
          </w:p>
        </w:tc>
        <w:tc>
          <w:tcPr>
            <w:tcW w:w="160" w:type="dxa"/>
            <w:vAlign w:val="bottom"/>
          </w:tcPr>
          <w:p>
            <w:pPr>
              <w:spacing w:after="0"/>
              <w:rPr>
                <w:sz w:val="12"/>
                <w:szCs w:val="12"/>
                <w:color w:val="auto"/>
              </w:rPr>
            </w:pPr>
          </w:p>
        </w:tc>
        <w:tc>
          <w:tcPr>
            <w:tcW w:w="420" w:type="dxa"/>
            <w:vAlign w:val="bottom"/>
            <w:gridSpan w:val="2"/>
          </w:tcPr>
          <w:p>
            <w:pPr>
              <w:jc w:val="right"/>
              <w:ind w:right="193"/>
              <w:spacing w:after="0" w:line="142" w:lineRule="exact"/>
              <w:rPr>
                <w:sz w:val="20"/>
                <w:szCs w:val="20"/>
                <w:color w:val="auto"/>
              </w:rPr>
            </w:pPr>
            <w:r>
              <w:rPr>
                <w:rFonts w:ascii="Arial" w:cs="Arial" w:eastAsia="Arial" w:hAnsi="Arial"/>
                <w:sz w:val="13"/>
                <w:szCs w:val="13"/>
                <w:color w:val="auto"/>
              </w:rPr>
              <w:t>$</w:t>
            </w:r>
          </w:p>
        </w:tc>
        <w:tc>
          <w:tcPr>
            <w:tcW w:w="1620" w:type="dxa"/>
            <w:vAlign w:val="bottom"/>
          </w:tcPr>
          <w:p>
            <w:pPr>
              <w:jc w:val="right"/>
              <w:spacing w:after="0" w:line="142" w:lineRule="exact"/>
              <w:rPr>
                <w:sz w:val="20"/>
                <w:szCs w:val="20"/>
                <w:color w:val="auto"/>
              </w:rPr>
            </w:pPr>
            <w:r>
              <w:rPr>
                <w:rFonts w:ascii="Arial" w:cs="Arial" w:eastAsia="Arial" w:hAnsi="Arial"/>
                <w:sz w:val="13"/>
                <w:szCs w:val="13"/>
                <w:color w:val="auto"/>
              </w:rPr>
              <w:t>25,072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Receivables, net</w:t>
            </w:r>
          </w:p>
        </w:tc>
        <w:tc>
          <w:tcPr>
            <w:tcW w:w="1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73,543</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6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76,666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line="142" w:lineRule="exact"/>
              <w:rPr>
                <w:sz w:val="20"/>
                <w:szCs w:val="20"/>
                <w:color w:val="auto"/>
              </w:rPr>
            </w:pPr>
            <w:r>
              <w:rPr>
                <w:rFonts w:ascii="Arial" w:cs="Arial" w:eastAsia="Arial" w:hAnsi="Arial"/>
                <w:sz w:val="13"/>
                <w:szCs w:val="13"/>
                <w:color w:val="auto"/>
              </w:rPr>
              <w:t>Inventories</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tcPr>
          <w:p>
            <w:pPr>
              <w:jc w:val="right"/>
              <w:spacing w:after="0" w:line="142" w:lineRule="exact"/>
              <w:rPr>
                <w:sz w:val="20"/>
                <w:szCs w:val="20"/>
                <w:color w:val="auto"/>
              </w:rPr>
            </w:pPr>
            <w:r>
              <w:rPr>
                <w:rFonts w:ascii="Arial" w:cs="Arial" w:eastAsia="Arial" w:hAnsi="Arial"/>
                <w:sz w:val="13"/>
                <w:szCs w:val="13"/>
                <w:color w:val="auto"/>
              </w:rPr>
              <w:t>109,245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jc w:val="right"/>
              <w:spacing w:after="0" w:line="142" w:lineRule="exact"/>
              <w:rPr>
                <w:sz w:val="20"/>
                <w:szCs w:val="20"/>
                <w:color w:val="auto"/>
              </w:rPr>
            </w:pPr>
            <w:r>
              <w:rPr>
                <w:rFonts w:ascii="Arial" w:cs="Arial" w:eastAsia="Arial" w:hAnsi="Arial"/>
                <w:sz w:val="13"/>
                <w:szCs w:val="13"/>
                <w:color w:val="auto"/>
              </w:rPr>
              <w:t>101,067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Income taxes receivable</w:t>
            </w:r>
          </w:p>
        </w:tc>
        <w:tc>
          <w:tcPr>
            <w:tcW w:w="1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753</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6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905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60" w:type="dxa"/>
            <w:vAlign w:val="bottom"/>
            <w:gridSpan w:val="2"/>
          </w:tcPr>
          <w:p>
            <w:pPr>
              <w:spacing w:after="0" w:line="142" w:lineRule="exact"/>
              <w:rPr>
                <w:sz w:val="20"/>
                <w:szCs w:val="20"/>
                <w:color w:val="auto"/>
              </w:rPr>
            </w:pPr>
            <w:r>
              <w:rPr>
                <w:rFonts w:ascii="Arial" w:cs="Arial" w:eastAsia="Arial" w:hAnsi="Arial"/>
                <w:sz w:val="13"/>
                <w:szCs w:val="13"/>
                <w:color w:val="auto"/>
              </w:rPr>
              <w:t>Other current assets</w:t>
            </w:r>
          </w:p>
        </w:tc>
        <w:tc>
          <w:tcPr>
            <w:tcW w:w="1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9,052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7,743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840" w:type="dxa"/>
            <w:vAlign w:val="bottom"/>
            <w:tcBorders>
              <w:bottom w:val="single" w:sz="8" w:color="CFF0FC"/>
            </w:tcBorders>
            <w:shd w:val="clear" w:color="auto" w:fill="CFF0FC"/>
          </w:tcPr>
          <w:p>
            <w:pPr>
              <w:spacing w:after="0" w:line="134" w:lineRule="exact"/>
              <w:rPr>
                <w:sz w:val="20"/>
                <w:szCs w:val="20"/>
                <w:color w:val="auto"/>
              </w:rPr>
            </w:pPr>
            <w:r>
              <w:rPr>
                <w:rFonts w:ascii="Arial" w:cs="Arial" w:eastAsia="Arial" w:hAnsi="Arial"/>
                <w:sz w:val="13"/>
                <w:szCs w:val="13"/>
                <w:color w:val="auto"/>
              </w:rPr>
              <w:t>Total current assets</w:t>
            </w:r>
          </w:p>
        </w:tc>
        <w:tc>
          <w:tcPr>
            <w:tcW w:w="11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1740" w:type="dxa"/>
            <w:vAlign w:val="bottom"/>
            <w:tcBorders>
              <w:bottom w:val="single" w:sz="8" w:color="auto"/>
            </w:tcBorders>
            <w:shd w:val="clear" w:color="auto" w:fill="CFF0FC"/>
          </w:tcPr>
          <w:p>
            <w:pPr>
              <w:jc w:val="right"/>
              <w:spacing w:after="0" w:line="134" w:lineRule="exact"/>
              <w:rPr>
                <w:sz w:val="20"/>
                <w:szCs w:val="20"/>
                <w:color w:val="auto"/>
              </w:rPr>
            </w:pPr>
            <w:r>
              <w:rPr>
                <w:rFonts w:ascii="Arial" w:cs="Arial" w:eastAsia="Arial" w:hAnsi="Arial"/>
                <w:sz w:val="13"/>
                <w:szCs w:val="13"/>
                <w:color w:val="auto"/>
              </w:rPr>
              <w:t>218,684</w:t>
            </w:r>
          </w:p>
        </w:tc>
        <w:tc>
          <w:tcPr>
            <w:tcW w:w="1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rPr>
                <w:sz w:val="11"/>
                <w:szCs w:val="11"/>
                <w:color w:val="auto"/>
              </w:rPr>
            </w:pPr>
          </w:p>
        </w:tc>
        <w:tc>
          <w:tcPr>
            <w:tcW w:w="1620" w:type="dxa"/>
            <w:vAlign w:val="bottom"/>
            <w:tcBorders>
              <w:bottom w:val="single" w:sz="8" w:color="auto"/>
            </w:tcBorders>
            <w:shd w:val="clear" w:color="auto" w:fill="CFF0FC"/>
          </w:tcPr>
          <w:p>
            <w:pPr>
              <w:jc w:val="right"/>
              <w:spacing w:after="0" w:line="134" w:lineRule="exact"/>
              <w:rPr>
                <w:sz w:val="20"/>
                <w:szCs w:val="20"/>
                <w:color w:val="auto"/>
              </w:rPr>
            </w:pPr>
            <w:r>
              <w:rPr>
                <w:rFonts w:ascii="Arial" w:cs="Arial" w:eastAsia="Arial" w:hAnsi="Arial"/>
                <w:sz w:val="13"/>
                <w:szCs w:val="13"/>
                <w:color w:val="auto"/>
              </w:rPr>
              <w:t>211,453</w:t>
            </w: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840" w:type="dxa"/>
            <w:vAlign w:val="bottom"/>
          </w:tcPr>
          <w:p>
            <w:pPr>
              <w:spacing w:after="0" w:line="134" w:lineRule="exact"/>
              <w:rPr>
                <w:sz w:val="20"/>
                <w:szCs w:val="20"/>
                <w:color w:val="auto"/>
              </w:rPr>
            </w:pPr>
            <w:r>
              <w:rPr>
                <w:rFonts w:ascii="Arial" w:cs="Arial" w:eastAsia="Arial" w:hAnsi="Arial"/>
                <w:sz w:val="13"/>
                <w:szCs w:val="13"/>
                <w:color w:val="auto"/>
              </w:rPr>
              <w:t>Property, plant and equipment, net</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40" w:type="dxa"/>
            <w:vAlign w:val="bottom"/>
          </w:tcPr>
          <w:p>
            <w:pPr>
              <w:jc w:val="right"/>
              <w:spacing w:after="0" w:line="134" w:lineRule="exact"/>
              <w:rPr>
                <w:sz w:val="20"/>
                <w:szCs w:val="20"/>
                <w:color w:val="auto"/>
              </w:rPr>
            </w:pPr>
            <w:r>
              <w:rPr>
                <w:rFonts w:ascii="Arial" w:cs="Arial" w:eastAsia="Arial" w:hAnsi="Arial"/>
                <w:sz w:val="13"/>
                <w:szCs w:val="13"/>
                <w:color w:val="auto"/>
              </w:rPr>
              <w:t>153,534</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20" w:type="dxa"/>
            <w:vAlign w:val="bottom"/>
          </w:tcPr>
          <w:p>
            <w:pPr>
              <w:jc w:val="right"/>
              <w:spacing w:after="0" w:line="134" w:lineRule="exact"/>
              <w:rPr>
                <w:sz w:val="20"/>
                <w:szCs w:val="20"/>
                <w:color w:val="auto"/>
              </w:rPr>
            </w:pPr>
            <w:r>
              <w:rPr>
                <w:rFonts w:ascii="Arial" w:cs="Arial" w:eastAsia="Arial" w:hAnsi="Arial"/>
                <w:sz w:val="13"/>
                <w:szCs w:val="13"/>
                <w:color w:val="auto"/>
              </w:rPr>
              <w:t>158,325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Operating lease assets</w:t>
            </w:r>
          </w:p>
        </w:tc>
        <w:tc>
          <w:tcPr>
            <w:tcW w:w="1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5,960</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6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6,532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line="142" w:lineRule="exact"/>
              <w:rPr>
                <w:sz w:val="20"/>
                <w:szCs w:val="20"/>
                <w:color w:val="auto"/>
              </w:rPr>
            </w:pPr>
            <w:r>
              <w:rPr>
                <w:rFonts w:ascii="Arial" w:cs="Arial" w:eastAsia="Arial" w:hAnsi="Arial"/>
                <w:sz w:val="13"/>
                <w:szCs w:val="13"/>
                <w:color w:val="auto"/>
              </w:rPr>
              <w:t>Deferred income taxes</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tcPr>
          <w:p>
            <w:pPr>
              <w:jc w:val="right"/>
              <w:spacing w:after="0" w:line="142" w:lineRule="exact"/>
              <w:rPr>
                <w:sz w:val="20"/>
                <w:szCs w:val="20"/>
                <w:color w:val="auto"/>
              </w:rPr>
            </w:pPr>
            <w:r>
              <w:rPr>
                <w:rFonts w:ascii="Arial" w:cs="Arial" w:eastAsia="Arial" w:hAnsi="Arial"/>
                <w:sz w:val="13"/>
                <w:szCs w:val="13"/>
                <w:color w:val="auto"/>
              </w:rPr>
              <w:t>5,287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jc w:val="right"/>
              <w:spacing w:after="0" w:line="142" w:lineRule="exact"/>
              <w:rPr>
                <w:sz w:val="20"/>
                <w:szCs w:val="20"/>
                <w:color w:val="auto"/>
              </w:rPr>
            </w:pPr>
            <w:r>
              <w:rPr>
                <w:rFonts w:ascii="Arial" w:cs="Arial" w:eastAsia="Arial" w:hAnsi="Arial"/>
                <w:sz w:val="13"/>
                <w:szCs w:val="13"/>
                <w:color w:val="auto"/>
              </w:rPr>
              <w:t>5,316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Borders>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Other non-current assets</w:t>
            </w:r>
          </w:p>
        </w:tc>
        <w:tc>
          <w:tcPr>
            <w:tcW w:w="11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7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4,907</w:t>
            </w:r>
          </w:p>
        </w:tc>
        <w:tc>
          <w:tcPr>
            <w:tcW w:w="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6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4,807</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5860" w:type="dxa"/>
            <w:vAlign w:val="bottom"/>
            <w:gridSpan w:val="2"/>
          </w:tcPr>
          <w:p>
            <w:pPr>
              <w:spacing w:after="0" w:line="134" w:lineRule="exact"/>
              <w:rPr>
                <w:sz w:val="20"/>
                <w:szCs w:val="20"/>
                <w:color w:val="auto"/>
              </w:rPr>
            </w:pPr>
            <w:r>
              <w:rPr>
                <w:rFonts w:ascii="Arial" w:cs="Arial" w:eastAsia="Arial" w:hAnsi="Arial"/>
                <w:sz w:val="13"/>
                <w:szCs w:val="13"/>
                <w:color w:val="auto"/>
              </w:rPr>
              <w:t>Total assets</w:t>
            </w:r>
          </w:p>
        </w:tc>
        <w:tc>
          <w:tcPr>
            <w:tcW w:w="1120" w:type="dxa"/>
            <w:vAlign w:val="bottom"/>
          </w:tcPr>
          <w:p>
            <w:pPr>
              <w:spacing w:after="0"/>
              <w:rPr>
                <w:sz w:val="11"/>
                <w:szCs w:val="11"/>
                <w:color w:val="auto"/>
              </w:rPr>
            </w:pPr>
          </w:p>
        </w:tc>
        <w:tc>
          <w:tcPr>
            <w:tcW w:w="220" w:type="dxa"/>
            <w:vAlign w:val="bottom"/>
            <w:tcBorders>
              <w:bottom w:val="single" w:sz="8" w:color="auto"/>
            </w:tcBorders>
          </w:tcPr>
          <w:p>
            <w:pPr>
              <w:jc w:val="right"/>
              <w:ind w:right="77"/>
              <w:spacing w:after="0" w:line="122" w:lineRule="exact"/>
              <w:rPr>
                <w:sz w:val="20"/>
                <w:szCs w:val="20"/>
                <w:color w:val="auto"/>
              </w:rPr>
            </w:pPr>
            <w:r>
              <w:rPr>
                <w:rFonts w:ascii="Arial" w:cs="Arial" w:eastAsia="Arial" w:hAnsi="Arial"/>
                <w:sz w:val="13"/>
                <w:szCs w:val="13"/>
                <w:color w:val="auto"/>
                <w:w w:val="82"/>
              </w:rPr>
              <w:t>$</w:t>
            </w:r>
          </w:p>
        </w:tc>
        <w:tc>
          <w:tcPr>
            <w:tcW w:w="17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388,372</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bottom w:val="single" w:sz="8" w:color="auto"/>
            </w:tcBorders>
          </w:tcPr>
          <w:p>
            <w:pPr>
              <w:jc w:val="right"/>
              <w:ind w:right="193"/>
              <w:spacing w:after="0"/>
              <w:rPr>
                <w:sz w:val="20"/>
                <w:szCs w:val="20"/>
                <w:color w:val="auto"/>
              </w:rPr>
            </w:pPr>
            <w:r>
              <w:rPr>
                <w:rFonts w:ascii="Arial" w:cs="Arial" w:eastAsia="Arial" w:hAnsi="Arial"/>
                <w:sz w:val="9"/>
                <w:szCs w:val="9"/>
                <w:color w:val="auto"/>
                <w:w w:val="78"/>
              </w:rPr>
              <w:t>$</w:t>
            </w:r>
          </w:p>
        </w:tc>
        <w:tc>
          <w:tcPr>
            <w:tcW w:w="16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386,433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584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7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jc w:val="center"/>
              <w:ind w:left="837"/>
              <w:spacing w:after="0" w:line="142" w:lineRule="exact"/>
              <w:rPr>
                <w:sz w:val="20"/>
                <w:szCs w:val="20"/>
                <w:color w:val="auto"/>
              </w:rPr>
            </w:pPr>
            <w:r>
              <w:rPr>
                <w:rFonts w:ascii="Arial" w:cs="Arial" w:eastAsia="Arial" w:hAnsi="Arial"/>
                <w:sz w:val="13"/>
                <w:szCs w:val="13"/>
                <w:b w:val="1"/>
                <w:bCs w:val="1"/>
                <w:color w:val="auto"/>
                <w:w w:val="96"/>
              </w:rPr>
              <w:t>LIABILITIES AND SHAREHOLDERS’ EQUITY</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Accounts payable</w:t>
            </w:r>
          </w:p>
        </w:tc>
        <w:tc>
          <w:tcPr>
            <w:tcW w:w="1340" w:type="dxa"/>
            <w:vAlign w:val="bottom"/>
            <w:gridSpan w:val="2"/>
            <w:shd w:val="clear" w:color="auto" w:fill="CFF0FC"/>
          </w:tcPr>
          <w:p>
            <w:pPr>
              <w:jc w:val="right"/>
              <w:ind w:right="77"/>
              <w:spacing w:after="0" w:line="142" w:lineRule="exact"/>
              <w:rPr>
                <w:sz w:val="20"/>
                <w:szCs w:val="20"/>
                <w:color w:val="auto"/>
              </w:rPr>
            </w:pPr>
            <w:r>
              <w:rPr>
                <w:rFonts w:ascii="Arial" w:cs="Arial" w:eastAsia="Arial" w:hAnsi="Arial"/>
                <w:sz w:val="13"/>
                <w:szCs w:val="13"/>
                <w:color w:val="auto"/>
              </w:rPr>
              <w:t>$</w:t>
            </w:r>
          </w:p>
        </w:tc>
        <w:tc>
          <w:tcPr>
            <w:tcW w:w="17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37,500</w:t>
            </w:r>
          </w:p>
        </w:tc>
        <w:tc>
          <w:tcPr>
            <w:tcW w:w="16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193"/>
              <w:spacing w:after="0" w:line="142" w:lineRule="exact"/>
              <w:rPr>
                <w:sz w:val="20"/>
                <w:szCs w:val="20"/>
                <w:color w:val="auto"/>
              </w:rPr>
            </w:pPr>
            <w:r>
              <w:rPr>
                <w:rFonts w:ascii="Arial" w:cs="Arial" w:eastAsia="Arial" w:hAnsi="Arial"/>
                <w:sz w:val="13"/>
                <w:szCs w:val="13"/>
                <w:color w:val="auto"/>
              </w:rPr>
              <w:t>$</w:t>
            </w:r>
          </w:p>
        </w:tc>
        <w:tc>
          <w:tcPr>
            <w:tcW w:w="16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31,151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line="142" w:lineRule="exact"/>
              <w:rPr>
                <w:sz w:val="20"/>
                <w:szCs w:val="20"/>
                <w:color w:val="auto"/>
              </w:rPr>
            </w:pPr>
            <w:r>
              <w:rPr>
                <w:rFonts w:ascii="Arial" w:cs="Arial" w:eastAsia="Arial" w:hAnsi="Arial"/>
                <w:sz w:val="13"/>
                <w:szCs w:val="13"/>
                <w:color w:val="auto"/>
              </w:rPr>
              <w:t>Income taxes payable</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tcPr>
          <w:p>
            <w:pPr>
              <w:jc w:val="right"/>
              <w:spacing w:after="0" w:line="142" w:lineRule="exact"/>
              <w:rPr>
                <w:sz w:val="20"/>
                <w:szCs w:val="20"/>
                <w:color w:val="auto"/>
              </w:rPr>
            </w:pPr>
            <w:r>
              <w:rPr>
                <w:rFonts w:ascii="Arial" w:cs="Arial" w:eastAsia="Arial" w:hAnsi="Arial"/>
                <w:sz w:val="13"/>
                <w:szCs w:val="13"/>
                <w:color w:val="auto"/>
              </w:rPr>
              <w:t>1,295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jc w:val="right"/>
              <w:spacing w:after="0" w:line="142" w:lineRule="exact"/>
              <w:rPr>
                <w:sz w:val="20"/>
                <w:szCs w:val="20"/>
                <w:color w:val="auto"/>
              </w:rPr>
            </w:pPr>
            <w:r>
              <w:rPr>
                <w:rFonts w:ascii="Arial" w:cs="Arial" w:eastAsia="Arial" w:hAnsi="Arial"/>
                <w:sz w:val="13"/>
                <w:szCs w:val="13"/>
                <w:color w:val="auto"/>
              </w:rPr>
              <w:t>656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Current operating lease liabilities</w:t>
            </w:r>
          </w:p>
        </w:tc>
        <w:tc>
          <w:tcPr>
            <w:tcW w:w="1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1,879</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6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2,128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line="142" w:lineRule="exact"/>
              <w:rPr>
                <w:sz w:val="20"/>
                <w:szCs w:val="20"/>
                <w:color w:val="auto"/>
              </w:rPr>
            </w:pPr>
            <w:r>
              <w:rPr>
                <w:rFonts w:ascii="Arial" w:cs="Arial" w:eastAsia="Arial" w:hAnsi="Arial"/>
                <w:sz w:val="13"/>
                <w:szCs w:val="13"/>
                <w:color w:val="auto"/>
              </w:rPr>
              <w:t>Current portion of long-term debt</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tcPr>
          <w:p>
            <w:pPr>
              <w:jc w:val="right"/>
              <w:spacing w:after="0" w:line="142" w:lineRule="exact"/>
              <w:rPr>
                <w:sz w:val="20"/>
                <w:szCs w:val="20"/>
                <w:color w:val="auto"/>
              </w:rPr>
            </w:pPr>
            <w:r>
              <w:rPr>
                <w:rFonts w:ascii="Arial" w:cs="Arial" w:eastAsia="Arial" w:hAnsi="Arial"/>
                <w:sz w:val="13"/>
                <w:szCs w:val="13"/>
                <w:color w:val="auto"/>
              </w:rPr>
              <w:t>12,087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jc w:val="right"/>
              <w:spacing w:after="0" w:line="142" w:lineRule="exact"/>
              <w:rPr>
                <w:sz w:val="20"/>
                <w:szCs w:val="20"/>
                <w:color w:val="auto"/>
              </w:rPr>
            </w:pPr>
            <w:r>
              <w:rPr>
                <w:rFonts w:ascii="Arial" w:cs="Arial" w:eastAsia="Arial" w:hAnsi="Arial"/>
                <w:sz w:val="13"/>
                <w:szCs w:val="13"/>
                <w:color w:val="auto"/>
              </w:rPr>
              <w:t>12,371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Borders>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Other current liabilities</w:t>
            </w:r>
          </w:p>
        </w:tc>
        <w:tc>
          <w:tcPr>
            <w:tcW w:w="11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7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15,169</w:t>
            </w:r>
          </w:p>
        </w:tc>
        <w:tc>
          <w:tcPr>
            <w:tcW w:w="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6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17,249</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5860" w:type="dxa"/>
            <w:vAlign w:val="bottom"/>
            <w:gridSpan w:val="2"/>
          </w:tcPr>
          <w:p>
            <w:pPr>
              <w:spacing w:after="0" w:line="134" w:lineRule="exact"/>
              <w:rPr>
                <w:sz w:val="20"/>
                <w:szCs w:val="20"/>
                <w:color w:val="auto"/>
              </w:rPr>
            </w:pPr>
            <w:r>
              <w:rPr>
                <w:rFonts w:ascii="Arial" w:cs="Arial" w:eastAsia="Arial" w:hAnsi="Arial"/>
                <w:sz w:val="13"/>
                <w:szCs w:val="13"/>
                <w:color w:val="auto"/>
              </w:rPr>
              <w:t>Total current liabilities</w:t>
            </w:r>
          </w:p>
        </w:tc>
        <w:tc>
          <w:tcPr>
            <w:tcW w:w="1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67,930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63,555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8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Long-term debt</w:t>
            </w:r>
          </w:p>
        </w:tc>
        <w:tc>
          <w:tcPr>
            <w:tcW w:w="1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74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78,756</w:t>
            </w: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62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79,998</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line="142" w:lineRule="exact"/>
              <w:rPr>
                <w:sz w:val="20"/>
                <w:szCs w:val="20"/>
                <w:color w:val="auto"/>
              </w:rPr>
            </w:pPr>
            <w:r>
              <w:rPr>
                <w:rFonts w:ascii="Arial" w:cs="Arial" w:eastAsia="Arial" w:hAnsi="Arial"/>
                <w:sz w:val="13"/>
                <w:szCs w:val="13"/>
                <w:color w:val="auto"/>
              </w:rPr>
              <w:t>Non-current operating lease liabilities</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tcPr>
          <w:p>
            <w:pPr>
              <w:jc w:val="right"/>
              <w:spacing w:after="0" w:line="142" w:lineRule="exact"/>
              <w:rPr>
                <w:sz w:val="20"/>
                <w:szCs w:val="20"/>
                <w:color w:val="auto"/>
              </w:rPr>
            </w:pPr>
            <w:r>
              <w:rPr>
                <w:rFonts w:ascii="Arial" w:cs="Arial" w:eastAsia="Arial" w:hAnsi="Arial"/>
                <w:sz w:val="13"/>
                <w:szCs w:val="13"/>
                <w:color w:val="auto"/>
              </w:rPr>
              <w:t>4,132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jc w:val="right"/>
              <w:spacing w:after="0" w:line="142" w:lineRule="exact"/>
              <w:rPr>
                <w:sz w:val="20"/>
                <w:szCs w:val="20"/>
                <w:color w:val="auto"/>
              </w:rPr>
            </w:pPr>
            <w:r>
              <w:rPr>
                <w:rFonts w:ascii="Arial" w:cs="Arial" w:eastAsia="Arial" w:hAnsi="Arial"/>
                <w:sz w:val="13"/>
                <w:szCs w:val="13"/>
                <w:color w:val="auto"/>
              </w:rPr>
              <w:t>4,458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Deferred income taxes</w:t>
            </w:r>
          </w:p>
        </w:tc>
        <w:tc>
          <w:tcPr>
            <w:tcW w:w="1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1,004</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6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997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60" w:type="dxa"/>
            <w:vAlign w:val="bottom"/>
            <w:gridSpan w:val="2"/>
          </w:tcPr>
          <w:p>
            <w:pPr>
              <w:spacing w:after="0" w:line="142" w:lineRule="exact"/>
              <w:rPr>
                <w:sz w:val="20"/>
                <w:szCs w:val="20"/>
                <w:color w:val="auto"/>
              </w:rPr>
            </w:pPr>
            <w:r>
              <w:rPr>
                <w:rFonts w:ascii="Arial" w:cs="Arial" w:eastAsia="Arial" w:hAnsi="Arial"/>
                <w:sz w:val="13"/>
                <w:szCs w:val="13"/>
                <w:color w:val="auto"/>
              </w:rPr>
              <w:t>Other long-term liabilities</w:t>
            </w:r>
          </w:p>
        </w:tc>
        <w:tc>
          <w:tcPr>
            <w:tcW w:w="1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5,333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5,203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840" w:type="dxa"/>
            <w:vAlign w:val="bottom"/>
            <w:tcBorders>
              <w:bottom w:val="single" w:sz="8" w:color="CFF0FC"/>
            </w:tcBorders>
            <w:shd w:val="clear" w:color="auto" w:fill="CFF0FC"/>
          </w:tcPr>
          <w:p>
            <w:pPr>
              <w:spacing w:after="0" w:line="134" w:lineRule="exact"/>
              <w:rPr>
                <w:sz w:val="20"/>
                <w:szCs w:val="20"/>
                <w:color w:val="auto"/>
              </w:rPr>
            </w:pPr>
            <w:r>
              <w:rPr>
                <w:rFonts w:ascii="Arial" w:cs="Arial" w:eastAsia="Arial" w:hAnsi="Arial"/>
                <w:sz w:val="13"/>
                <w:szCs w:val="13"/>
                <w:color w:val="auto"/>
              </w:rPr>
              <w:t>Total liabilities</w:t>
            </w:r>
          </w:p>
        </w:tc>
        <w:tc>
          <w:tcPr>
            <w:tcW w:w="11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1740" w:type="dxa"/>
            <w:vAlign w:val="bottom"/>
            <w:tcBorders>
              <w:bottom w:val="single" w:sz="8" w:color="auto"/>
            </w:tcBorders>
            <w:shd w:val="clear" w:color="auto" w:fill="CFF0FC"/>
          </w:tcPr>
          <w:p>
            <w:pPr>
              <w:jc w:val="right"/>
              <w:spacing w:after="0" w:line="134" w:lineRule="exact"/>
              <w:rPr>
                <w:sz w:val="20"/>
                <w:szCs w:val="20"/>
                <w:color w:val="auto"/>
              </w:rPr>
            </w:pPr>
            <w:r>
              <w:rPr>
                <w:rFonts w:ascii="Arial" w:cs="Arial" w:eastAsia="Arial" w:hAnsi="Arial"/>
                <w:sz w:val="13"/>
                <w:szCs w:val="13"/>
                <w:color w:val="auto"/>
              </w:rPr>
              <w:t>157,155</w:t>
            </w:r>
          </w:p>
        </w:tc>
        <w:tc>
          <w:tcPr>
            <w:tcW w:w="1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rPr>
                <w:sz w:val="11"/>
                <w:szCs w:val="11"/>
                <w:color w:val="auto"/>
              </w:rPr>
            </w:pPr>
          </w:p>
        </w:tc>
        <w:tc>
          <w:tcPr>
            <w:tcW w:w="1620" w:type="dxa"/>
            <w:vAlign w:val="bottom"/>
            <w:tcBorders>
              <w:bottom w:val="single" w:sz="8" w:color="auto"/>
            </w:tcBorders>
            <w:shd w:val="clear" w:color="auto" w:fill="CFF0FC"/>
          </w:tcPr>
          <w:p>
            <w:pPr>
              <w:jc w:val="right"/>
              <w:spacing w:after="0" w:line="134" w:lineRule="exact"/>
              <w:rPr>
                <w:sz w:val="20"/>
                <w:szCs w:val="20"/>
                <w:color w:val="auto"/>
              </w:rPr>
            </w:pPr>
            <w:r>
              <w:rPr>
                <w:rFonts w:ascii="Arial" w:cs="Arial" w:eastAsia="Arial" w:hAnsi="Arial"/>
                <w:sz w:val="13"/>
                <w:szCs w:val="13"/>
                <w:color w:val="auto"/>
              </w:rPr>
              <w:t>154,211</w:t>
            </w: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5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584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Commitments and contingencies</w:t>
            </w:r>
          </w:p>
        </w:tc>
        <w:tc>
          <w:tcPr>
            <w:tcW w:w="1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584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Common stock</w:t>
            </w:r>
          </w:p>
        </w:tc>
        <w:tc>
          <w:tcPr>
            <w:tcW w:w="1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1,859</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6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1,859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line="142" w:lineRule="exact"/>
              <w:rPr>
                <w:sz w:val="20"/>
                <w:szCs w:val="20"/>
                <w:color w:val="auto"/>
              </w:rPr>
            </w:pPr>
            <w:r>
              <w:rPr>
                <w:rFonts w:ascii="Arial" w:cs="Arial" w:eastAsia="Arial" w:hAnsi="Arial"/>
                <w:sz w:val="13"/>
                <w:szCs w:val="13"/>
                <w:color w:val="auto"/>
              </w:rPr>
              <w:t>Capital in excess of par value</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tcPr>
          <w:p>
            <w:pPr>
              <w:jc w:val="right"/>
              <w:spacing w:after="0" w:line="142" w:lineRule="exact"/>
              <w:rPr>
                <w:sz w:val="20"/>
                <w:szCs w:val="20"/>
                <w:color w:val="auto"/>
              </w:rPr>
            </w:pPr>
            <w:r>
              <w:rPr>
                <w:rFonts w:ascii="Arial" w:cs="Arial" w:eastAsia="Arial" w:hAnsi="Arial"/>
                <w:sz w:val="13"/>
                <w:szCs w:val="13"/>
                <w:color w:val="auto"/>
              </w:rPr>
              <w:t>77,954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jc w:val="right"/>
              <w:spacing w:after="0" w:line="142" w:lineRule="exact"/>
              <w:rPr>
                <w:sz w:val="20"/>
                <w:szCs w:val="20"/>
                <w:color w:val="auto"/>
              </w:rPr>
            </w:pPr>
            <w:r>
              <w:rPr>
                <w:rFonts w:ascii="Arial" w:cs="Arial" w:eastAsia="Arial" w:hAnsi="Arial"/>
                <w:sz w:val="13"/>
                <w:szCs w:val="13"/>
                <w:color w:val="auto"/>
              </w:rPr>
              <w:t>77,174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Retained earnings</w:t>
            </w:r>
          </w:p>
        </w:tc>
        <w:tc>
          <w:tcPr>
            <w:tcW w:w="1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212,467</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6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214,487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60" w:type="dxa"/>
            <w:vAlign w:val="bottom"/>
            <w:gridSpan w:val="2"/>
          </w:tcPr>
          <w:p>
            <w:pPr>
              <w:spacing w:after="0" w:line="142" w:lineRule="exact"/>
              <w:rPr>
                <w:sz w:val="20"/>
                <w:szCs w:val="20"/>
                <w:color w:val="auto"/>
              </w:rPr>
            </w:pPr>
            <w:r>
              <w:rPr>
                <w:rFonts w:ascii="Arial" w:cs="Arial" w:eastAsia="Arial" w:hAnsi="Arial"/>
                <w:sz w:val="13"/>
                <w:szCs w:val="13"/>
                <w:color w:val="auto"/>
              </w:rPr>
              <w:t>Accumulated other comprehensive loss</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(61,063)</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(61,298)</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840" w:type="dxa"/>
            <w:vAlign w:val="bottom"/>
            <w:tcBorders>
              <w:bottom w:val="single" w:sz="8" w:color="CFF0FC"/>
            </w:tcBorders>
            <w:shd w:val="clear" w:color="auto" w:fill="CFF0FC"/>
          </w:tcPr>
          <w:p>
            <w:pPr>
              <w:spacing w:after="0" w:line="134" w:lineRule="exact"/>
              <w:rPr>
                <w:sz w:val="20"/>
                <w:szCs w:val="20"/>
                <w:color w:val="auto"/>
              </w:rPr>
            </w:pPr>
            <w:r>
              <w:rPr>
                <w:rFonts w:ascii="Arial" w:cs="Arial" w:eastAsia="Arial" w:hAnsi="Arial"/>
                <w:sz w:val="13"/>
                <w:szCs w:val="13"/>
                <w:color w:val="auto"/>
              </w:rPr>
              <w:t>Total shareholders’ equity</w:t>
            </w:r>
          </w:p>
        </w:tc>
        <w:tc>
          <w:tcPr>
            <w:tcW w:w="11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top w:val="single" w:sz="8" w:color="auto"/>
              <w:bottom w:val="single" w:sz="8" w:color="auto"/>
            </w:tcBorders>
            <w:shd w:val="clear" w:color="auto" w:fill="CFF0FC"/>
          </w:tcPr>
          <w:p>
            <w:pPr>
              <w:spacing w:after="0"/>
              <w:rPr>
                <w:sz w:val="11"/>
                <w:szCs w:val="11"/>
                <w:color w:val="auto"/>
              </w:rPr>
            </w:pPr>
          </w:p>
        </w:tc>
        <w:tc>
          <w:tcPr>
            <w:tcW w:w="1740" w:type="dxa"/>
            <w:vAlign w:val="bottom"/>
            <w:tcBorders>
              <w:top w:val="single" w:sz="8" w:color="auto"/>
              <w:bottom w:val="single" w:sz="8" w:color="auto"/>
            </w:tcBorders>
            <w:shd w:val="clear" w:color="auto" w:fill="CFF0FC"/>
          </w:tcPr>
          <w:p>
            <w:pPr>
              <w:jc w:val="right"/>
              <w:spacing w:after="0" w:line="134" w:lineRule="exact"/>
              <w:rPr>
                <w:sz w:val="20"/>
                <w:szCs w:val="20"/>
                <w:color w:val="auto"/>
              </w:rPr>
            </w:pPr>
            <w:r>
              <w:rPr>
                <w:rFonts w:ascii="Arial" w:cs="Arial" w:eastAsia="Arial" w:hAnsi="Arial"/>
                <w:sz w:val="13"/>
                <w:szCs w:val="13"/>
                <w:color w:val="auto"/>
              </w:rPr>
              <w:t>231,217</w:t>
            </w:r>
          </w:p>
        </w:tc>
        <w:tc>
          <w:tcPr>
            <w:tcW w:w="1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top w:val="single" w:sz="8" w:color="auto"/>
              <w:bottom w:val="single" w:sz="8" w:color="auto"/>
            </w:tcBorders>
            <w:shd w:val="clear" w:color="auto" w:fill="CFF0FC"/>
          </w:tcPr>
          <w:p>
            <w:pPr>
              <w:spacing w:after="0"/>
              <w:rPr>
                <w:sz w:val="11"/>
                <w:szCs w:val="11"/>
                <w:color w:val="auto"/>
              </w:rPr>
            </w:pPr>
          </w:p>
        </w:tc>
        <w:tc>
          <w:tcPr>
            <w:tcW w:w="1620" w:type="dxa"/>
            <w:vAlign w:val="bottom"/>
            <w:tcBorders>
              <w:top w:val="single" w:sz="8" w:color="auto"/>
              <w:bottom w:val="single" w:sz="8" w:color="auto"/>
            </w:tcBorders>
            <w:shd w:val="clear" w:color="auto" w:fill="CFF0FC"/>
          </w:tcPr>
          <w:p>
            <w:pPr>
              <w:jc w:val="right"/>
              <w:spacing w:after="0" w:line="134" w:lineRule="exact"/>
              <w:rPr>
                <w:sz w:val="20"/>
                <w:szCs w:val="20"/>
                <w:color w:val="auto"/>
              </w:rPr>
            </w:pPr>
            <w:r>
              <w:rPr>
                <w:rFonts w:ascii="Arial" w:cs="Arial" w:eastAsia="Arial" w:hAnsi="Arial"/>
                <w:sz w:val="13"/>
                <w:szCs w:val="13"/>
                <w:color w:val="auto"/>
              </w:rPr>
              <w:t>232,222</w:t>
            </w: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5860" w:type="dxa"/>
            <w:vAlign w:val="bottom"/>
            <w:gridSpan w:val="2"/>
          </w:tcPr>
          <w:p>
            <w:pPr>
              <w:spacing w:after="0" w:line="134" w:lineRule="exact"/>
              <w:rPr>
                <w:sz w:val="20"/>
                <w:szCs w:val="20"/>
                <w:color w:val="auto"/>
              </w:rPr>
            </w:pPr>
            <w:r>
              <w:rPr>
                <w:rFonts w:ascii="Arial" w:cs="Arial" w:eastAsia="Arial" w:hAnsi="Arial"/>
                <w:sz w:val="13"/>
                <w:szCs w:val="13"/>
                <w:color w:val="auto"/>
              </w:rPr>
              <w:t>Total liabilities and shareholders’ equity</w:t>
            </w:r>
          </w:p>
        </w:tc>
        <w:tc>
          <w:tcPr>
            <w:tcW w:w="1120" w:type="dxa"/>
            <w:vAlign w:val="bottom"/>
          </w:tcPr>
          <w:p>
            <w:pPr>
              <w:spacing w:after="0"/>
              <w:rPr>
                <w:sz w:val="11"/>
                <w:szCs w:val="11"/>
                <w:color w:val="auto"/>
              </w:rPr>
            </w:pPr>
          </w:p>
        </w:tc>
        <w:tc>
          <w:tcPr>
            <w:tcW w:w="220" w:type="dxa"/>
            <w:vAlign w:val="bottom"/>
            <w:tcBorders>
              <w:bottom w:val="single" w:sz="8" w:color="auto"/>
            </w:tcBorders>
          </w:tcPr>
          <w:p>
            <w:pPr>
              <w:jc w:val="right"/>
              <w:ind w:right="77"/>
              <w:spacing w:after="0" w:line="122" w:lineRule="exact"/>
              <w:rPr>
                <w:sz w:val="20"/>
                <w:szCs w:val="20"/>
                <w:color w:val="auto"/>
              </w:rPr>
            </w:pPr>
            <w:r>
              <w:rPr>
                <w:rFonts w:ascii="Arial" w:cs="Arial" w:eastAsia="Arial" w:hAnsi="Arial"/>
                <w:sz w:val="13"/>
                <w:szCs w:val="13"/>
                <w:color w:val="auto"/>
                <w:w w:val="82"/>
              </w:rPr>
              <w:t>$</w:t>
            </w:r>
          </w:p>
        </w:tc>
        <w:tc>
          <w:tcPr>
            <w:tcW w:w="17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388,372</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bottom w:val="single" w:sz="8" w:color="auto"/>
            </w:tcBorders>
          </w:tcPr>
          <w:p>
            <w:pPr>
              <w:jc w:val="right"/>
              <w:ind w:right="193"/>
              <w:spacing w:after="0"/>
              <w:rPr>
                <w:sz w:val="20"/>
                <w:szCs w:val="20"/>
                <w:color w:val="auto"/>
              </w:rPr>
            </w:pPr>
            <w:r>
              <w:rPr>
                <w:rFonts w:ascii="Arial" w:cs="Arial" w:eastAsia="Arial" w:hAnsi="Arial"/>
                <w:sz w:val="9"/>
                <w:szCs w:val="9"/>
                <w:color w:val="auto"/>
                <w:w w:val="78"/>
              </w:rPr>
              <w:t>$</w:t>
            </w:r>
          </w:p>
        </w:tc>
        <w:tc>
          <w:tcPr>
            <w:tcW w:w="16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386,433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7"/>
        </w:trPr>
        <w:tc>
          <w:tcPr>
            <w:tcW w:w="20" w:type="dxa"/>
            <w:vAlign w:val="bottom"/>
            <w:tcBorders>
              <w:bottom w:val="single" w:sz="8" w:color="9A9A9A"/>
            </w:tcBorders>
          </w:tcPr>
          <w:p>
            <w:pPr>
              <w:spacing w:after="0"/>
              <w:rPr>
                <w:sz w:val="24"/>
                <w:szCs w:val="24"/>
                <w:color w:val="auto"/>
              </w:rPr>
            </w:pPr>
          </w:p>
        </w:tc>
        <w:tc>
          <w:tcPr>
            <w:tcW w:w="58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5673725</wp:posOffset>
            </wp:positionH>
            <wp:positionV relativeFrom="paragraph">
              <wp:posOffset>-3408680</wp:posOffset>
            </wp:positionV>
            <wp:extent cx="6731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-3408680</wp:posOffset>
            </wp:positionV>
            <wp:extent cx="6731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5673725</wp:posOffset>
            </wp:positionH>
            <wp:positionV relativeFrom="paragraph">
              <wp:posOffset>-3041015</wp:posOffset>
            </wp:positionV>
            <wp:extent cx="6731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-3041015</wp:posOffset>
            </wp:positionV>
            <wp:extent cx="6731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5673725</wp:posOffset>
            </wp:positionH>
            <wp:positionV relativeFrom="paragraph">
              <wp:posOffset>-2289810</wp:posOffset>
            </wp:positionV>
            <wp:extent cx="6731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-2289810</wp:posOffset>
            </wp:positionV>
            <wp:extent cx="6731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5673725</wp:posOffset>
            </wp:positionH>
            <wp:positionV relativeFrom="paragraph">
              <wp:posOffset>-1726565</wp:posOffset>
            </wp:positionV>
            <wp:extent cx="6731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-1726565</wp:posOffset>
            </wp:positionV>
            <wp:extent cx="6731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5673725</wp:posOffset>
            </wp:positionH>
            <wp:positionV relativeFrom="paragraph">
              <wp:posOffset>-990600</wp:posOffset>
            </wp:positionV>
            <wp:extent cx="6731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-990600</wp:posOffset>
            </wp:positionV>
            <wp:extent cx="6731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1" w:name="page12"/>
    <w:bookmarkEnd w:id="11"/>
    <w:p>
      <w:pPr>
        <w:spacing w:after="0" w:line="3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1081405" cy="4057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081405" cy="40576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3"/>
          <w:szCs w:val="13"/>
          <w:b w:val="1"/>
          <w:bCs w:val="1"/>
          <w:color w:val="auto"/>
        </w:rPr>
        <w:t>CONDENSED CONSOLIDATED STATEMENTS OF CASH FLOWS</w:t>
      </w:r>
    </w:p>
    <w:p>
      <w:pPr>
        <w:jc w:val="center"/>
        <w:ind w:right="20"/>
        <w:spacing w:after="0" w:line="234" w:lineRule="auto"/>
        <w:rPr>
          <w:sz w:val="20"/>
          <w:szCs w:val="20"/>
          <w:color w:val="auto"/>
        </w:rPr>
      </w:pPr>
      <w:r>
        <w:rPr>
          <w:rFonts w:ascii="Arial" w:cs="Arial" w:eastAsia="Arial" w:hAnsi="Arial"/>
          <w:sz w:val="13"/>
          <w:szCs w:val="13"/>
          <w:b w:val="1"/>
          <w:bCs w:val="1"/>
          <w:color w:val="auto"/>
        </w:rPr>
        <w:t>(Unaudited)</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80" w:type="dxa"/>
            <w:vAlign w:val="bottom"/>
            <w:gridSpan w:val="6"/>
          </w:tcPr>
          <w:p>
            <w:pPr>
              <w:jc w:val="right"/>
              <w:ind w:right="1240"/>
              <w:spacing w:after="0"/>
              <w:rPr>
                <w:sz w:val="20"/>
                <w:szCs w:val="20"/>
                <w:color w:val="auto"/>
              </w:rPr>
            </w:pPr>
            <w:r>
              <w:rPr>
                <w:rFonts w:ascii="Arial" w:cs="Arial" w:eastAsia="Arial" w:hAnsi="Arial"/>
                <w:sz w:val="13"/>
                <w:szCs w:val="13"/>
                <w:b w:val="1"/>
                <w:bCs w:val="1"/>
                <w:color w:val="auto"/>
              </w:rPr>
              <w:t>For the Three Months Ended</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640" w:type="dxa"/>
            <w:vAlign w:val="bottom"/>
            <w:tcBorders>
              <w:top w:val="single" w:sz="8" w:color="auto"/>
              <w:bottom w:val="single" w:sz="8" w:color="auto"/>
            </w:tcBorders>
          </w:tcPr>
          <w:p>
            <w:pPr>
              <w:jc w:val="right"/>
              <w:ind w:right="277"/>
              <w:spacing w:after="0" w:line="134" w:lineRule="exact"/>
              <w:rPr>
                <w:sz w:val="20"/>
                <w:szCs w:val="20"/>
                <w:color w:val="auto"/>
              </w:rPr>
            </w:pPr>
            <w:r>
              <w:rPr>
                <w:rFonts w:ascii="Arial" w:cs="Arial" w:eastAsia="Arial" w:hAnsi="Arial"/>
                <w:sz w:val="13"/>
                <w:szCs w:val="13"/>
                <w:b w:val="1"/>
                <w:bCs w:val="1"/>
                <w:color w:val="auto"/>
              </w:rPr>
              <w:t>September 27, 2026</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640" w:type="dxa"/>
            <w:vAlign w:val="bottom"/>
            <w:tcBorders>
              <w:top w:val="single" w:sz="8" w:color="auto"/>
              <w:bottom w:val="single" w:sz="8" w:color="auto"/>
            </w:tcBorders>
          </w:tcPr>
          <w:p>
            <w:pPr>
              <w:jc w:val="right"/>
              <w:ind w:right="277"/>
              <w:spacing w:after="0" w:line="134" w:lineRule="exact"/>
              <w:rPr>
                <w:sz w:val="20"/>
                <w:szCs w:val="20"/>
                <w:color w:val="auto"/>
              </w:rPr>
            </w:pPr>
            <w:r>
              <w:rPr>
                <w:rFonts w:ascii="Arial" w:cs="Arial" w:eastAsia="Arial" w:hAnsi="Arial"/>
                <w:sz w:val="13"/>
                <w:szCs w:val="13"/>
                <w:b w:val="1"/>
                <w:bCs w:val="1"/>
                <w:color w:val="auto"/>
              </w:rPr>
              <w:t>September 28, 2025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Cash and cash equivalents at beginning of period</w:t>
            </w:r>
          </w:p>
        </w:tc>
        <w:tc>
          <w:tcPr>
            <w:tcW w:w="1440" w:type="dxa"/>
            <w:vAlign w:val="bottom"/>
            <w:gridSpan w:val="2"/>
            <w:shd w:val="clear" w:color="auto" w:fill="CFF0FC"/>
          </w:tcPr>
          <w:p>
            <w:pPr>
              <w:jc w:val="right"/>
              <w:ind w:right="57"/>
              <w:spacing w:after="0" w:line="134" w:lineRule="exact"/>
              <w:rPr>
                <w:sz w:val="20"/>
                <w:szCs w:val="20"/>
                <w:color w:val="auto"/>
              </w:rPr>
            </w:pPr>
            <w:r>
              <w:rPr>
                <w:rFonts w:ascii="Arial" w:cs="Arial" w:eastAsia="Arial" w:hAnsi="Arial"/>
                <w:sz w:val="13"/>
                <w:szCs w:val="13"/>
                <w:color w:val="auto"/>
              </w:rPr>
              <w:t>$</w:t>
            </w:r>
          </w:p>
        </w:tc>
        <w:tc>
          <w:tcPr>
            <w:tcW w:w="164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25,072</w:t>
            </w:r>
          </w:p>
        </w:tc>
        <w:tc>
          <w:tcPr>
            <w:tcW w:w="16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57"/>
              <w:spacing w:after="0" w:line="134" w:lineRule="exact"/>
              <w:rPr>
                <w:sz w:val="20"/>
                <w:szCs w:val="20"/>
                <w:color w:val="auto"/>
              </w:rPr>
            </w:pPr>
            <w:r>
              <w:rPr>
                <w:rFonts w:ascii="Arial" w:cs="Arial" w:eastAsia="Arial" w:hAnsi="Arial"/>
                <w:sz w:val="13"/>
                <w:szCs w:val="13"/>
                <w:color w:val="auto"/>
              </w:rPr>
              <w:t>$</w:t>
            </w:r>
          </w:p>
        </w:tc>
        <w:tc>
          <w:tcPr>
            <w:tcW w:w="164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22,664</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Pr>
          <w:p>
            <w:pPr>
              <w:spacing w:after="0" w:line="142" w:lineRule="exact"/>
              <w:rPr>
                <w:sz w:val="20"/>
                <w:szCs w:val="20"/>
                <w:color w:val="auto"/>
              </w:rPr>
            </w:pPr>
            <w:r>
              <w:rPr>
                <w:rFonts w:ascii="Arial" w:cs="Arial" w:eastAsia="Arial" w:hAnsi="Arial"/>
                <w:sz w:val="13"/>
                <w:szCs w:val="13"/>
                <w:i w:val="1"/>
                <w:iCs w:val="1"/>
                <w:color w:val="auto"/>
              </w:rPr>
              <w:t>Operating activities:</w:t>
            </w: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Net loss</w:t>
            </w:r>
          </w:p>
        </w:tc>
        <w:tc>
          <w:tcPr>
            <w:tcW w:w="1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120"/>
              <w:spacing w:after="0" w:line="142" w:lineRule="exact"/>
              <w:rPr>
                <w:sz w:val="20"/>
                <w:szCs w:val="20"/>
                <w:color w:val="auto"/>
              </w:rPr>
            </w:pPr>
            <w:r>
              <w:rPr>
                <w:rFonts w:ascii="Arial" w:cs="Arial" w:eastAsia="Arial" w:hAnsi="Arial"/>
                <w:sz w:val="13"/>
                <w:szCs w:val="13"/>
                <w:color w:val="auto"/>
              </w:rPr>
              <w:t>(2,020)</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jc w:val="right"/>
              <w:ind w:right="80"/>
              <w:spacing w:after="0" w:line="142" w:lineRule="exact"/>
              <w:rPr>
                <w:sz w:val="20"/>
                <w:szCs w:val="20"/>
                <w:color w:val="auto"/>
              </w:rPr>
            </w:pPr>
            <w:r>
              <w:rPr>
                <w:rFonts w:ascii="Arial" w:cs="Arial" w:eastAsia="Arial" w:hAnsi="Arial"/>
                <w:sz w:val="13"/>
                <w:szCs w:val="13"/>
                <w:color w:val="auto"/>
              </w:rPr>
              <w:t>(11,357)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Pr>
          <w:p>
            <w:pPr>
              <w:spacing w:after="0" w:line="142" w:lineRule="exact"/>
              <w:rPr>
                <w:sz w:val="20"/>
                <w:szCs w:val="20"/>
                <w:color w:val="auto"/>
              </w:rPr>
            </w:pPr>
            <w:r>
              <w:rPr>
                <w:rFonts w:ascii="Arial" w:cs="Arial" w:eastAsia="Arial" w:hAnsi="Arial"/>
                <w:sz w:val="13"/>
                <w:szCs w:val="13"/>
                <w:color w:val="auto"/>
              </w:rPr>
              <w:t>Adjustments to reconcile net loss to net cash provided (used) by operating activities:</w:t>
            </w: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shd w:val="clear" w:color="auto" w:fill="CFF0FC"/>
          </w:tcPr>
          <w:p>
            <w:pPr>
              <w:ind w:left="40"/>
              <w:spacing w:after="0" w:line="142" w:lineRule="exact"/>
              <w:rPr>
                <w:sz w:val="20"/>
                <w:szCs w:val="20"/>
                <w:color w:val="auto"/>
              </w:rPr>
            </w:pPr>
            <w:r>
              <w:rPr>
                <w:rFonts w:ascii="Arial" w:cs="Arial" w:eastAsia="Arial" w:hAnsi="Arial"/>
                <w:sz w:val="13"/>
                <w:szCs w:val="13"/>
                <w:color w:val="auto"/>
              </w:rPr>
              <w:t>Equity in earnings of unconsolidated affiliate</w:t>
            </w:r>
          </w:p>
        </w:tc>
        <w:tc>
          <w:tcPr>
            <w:tcW w:w="1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120"/>
              <w:spacing w:after="0" w:line="142" w:lineRule="exact"/>
              <w:rPr>
                <w:sz w:val="20"/>
                <w:szCs w:val="20"/>
                <w:color w:val="auto"/>
              </w:rPr>
            </w:pPr>
            <w:r>
              <w:rPr>
                <w:rFonts w:ascii="Arial" w:cs="Arial" w:eastAsia="Arial" w:hAnsi="Arial"/>
                <w:sz w:val="13"/>
                <w:szCs w:val="13"/>
                <w:color w:val="auto"/>
              </w:rPr>
              <w:t>(20)</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jc w:val="right"/>
              <w:ind w:right="80"/>
              <w:spacing w:after="0" w:line="142" w:lineRule="exact"/>
              <w:rPr>
                <w:sz w:val="20"/>
                <w:szCs w:val="20"/>
                <w:color w:val="auto"/>
              </w:rPr>
            </w:pPr>
            <w:r>
              <w:rPr>
                <w:rFonts w:ascii="Arial" w:cs="Arial" w:eastAsia="Arial" w:hAnsi="Arial"/>
                <w:sz w:val="13"/>
                <w:szCs w:val="13"/>
                <w:color w:val="auto"/>
              </w:rPr>
              <w:t>(97)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Pr>
          <w:p>
            <w:pPr>
              <w:ind w:left="40"/>
              <w:spacing w:after="0" w:line="142" w:lineRule="exact"/>
              <w:rPr>
                <w:sz w:val="20"/>
                <w:szCs w:val="20"/>
                <w:color w:val="auto"/>
              </w:rPr>
            </w:pPr>
            <w:r>
              <w:rPr>
                <w:rFonts w:ascii="Arial" w:cs="Arial" w:eastAsia="Arial" w:hAnsi="Arial"/>
                <w:sz w:val="13"/>
                <w:szCs w:val="13"/>
                <w:color w:val="auto"/>
              </w:rPr>
              <w:t>Depreciation and amortization expense</w:t>
            </w: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jc w:val="right"/>
              <w:spacing w:after="0" w:line="142" w:lineRule="exact"/>
              <w:rPr>
                <w:sz w:val="20"/>
                <w:szCs w:val="20"/>
                <w:color w:val="auto"/>
              </w:rPr>
            </w:pPr>
            <w:r>
              <w:rPr>
                <w:rFonts w:ascii="Arial" w:cs="Arial" w:eastAsia="Arial" w:hAnsi="Arial"/>
                <w:sz w:val="13"/>
                <w:szCs w:val="13"/>
                <w:color w:val="auto"/>
              </w:rPr>
              <w:t>5,759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jc w:val="right"/>
              <w:spacing w:after="0" w:line="142" w:lineRule="exact"/>
              <w:rPr>
                <w:sz w:val="20"/>
                <w:szCs w:val="20"/>
                <w:color w:val="auto"/>
              </w:rPr>
            </w:pPr>
            <w:r>
              <w:rPr>
                <w:rFonts w:ascii="Arial" w:cs="Arial" w:eastAsia="Arial" w:hAnsi="Arial"/>
                <w:sz w:val="13"/>
                <w:szCs w:val="13"/>
                <w:color w:val="auto"/>
              </w:rPr>
              <w:t>5,977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shd w:val="clear" w:color="auto" w:fill="CFF0FC"/>
          </w:tcPr>
          <w:p>
            <w:pPr>
              <w:ind w:left="40"/>
              <w:spacing w:after="0" w:line="142" w:lineRule="exact"/>
              <w:rPr>
                <w:sz w:val="20"/>
                <w:szCs w:val="20"/>
                <w:color w:val="auto"/>
              </w:rPr>
            </w:pPr>
            <w:r>
              <w:rPr>
                <w:rFonts w:ascii="Arial" w:cs="Arial" w:eastAsia="Arial" w:hAnsi="Arial"/>
                <w:sz w:val="13"/>
                <w:szCs w:val="13"/>
                <w:color w:val="auto"/>
              </w:rPr>
              <w:t>Non-cash compensation expense</w:t>
            </w:r>
          </w:p>
        </w:tc>
        <w:tc>
          <w:tcPr>
            <w:tcW w:w="1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780</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801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Pr>
          <w:p>
            <w:pPr>
              <w:ind w:left="40"/>
              <w:spacing w:after="0" w:line="142" w:lineRule="exact"/>
              <w:rPr>
                <w:sz w:val="20"/>
                <w:szCs w:val="20"/>
                <w:color w:val="auto"/>
              </w:rPr>
            </w:pPr>
            <w:r>
              <w:rPr>
                <w:rFonts w:ascii="Arial" w:cs="Arial" w:eastAsia="Arial" w:hAnsi="Arial"/>
                <w:sz w:val="13"/>
                <w:szCs w:val="13"/>
                <w:color w:val="auto"/>
              </w:rPr>
              <w:t>Loss on foreign currency transaction, net</w:t>
            </w: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jc w:val="right"/>
              <w:spacing w:after="0" w:line="142" w:lineRule="exact"/>
              <w:rPr>
                <w:sz w:val="20"/>
                <w:szCs w:val="20"/>
                <w:color w:val="auto"/>
              </w:rPr>
            </w:pPr>
            <w:r>
              <w:rPr>
                <w:rFonts w:ascii="Arial" w:cs="Arial" w:eastAsia="Arial" w:hAnsi="Arial"/>
                <w:sz w:val="13"/>
                <w:szCs w:val="13"/>
                <w:color w:val="auto"/>
              </w:rPr>
              <w:t>91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shd w:val="clear" w:color="auto" w:fill="CFF0FC"/>
          </w:tcPr>
          <w:p>
            <w:pPr>
              <w:ind w:left="40"/>
              <w:spacing w:after="0" w:line="142" w:lineRule="exact"/>
              <w:rPr>
                <w:sz w:val="20"/>
                <w:szCs w:val="20"/>
                <w:color w:val="auto"/>
              </w:rPr>
            </w:pPr>
            <w:r>
              <w:rPr>
                <w:rFonts w:ascii="Arial" w:cs="Arial" w:eastAsia="Arial" w:hAnsi="Arial"/>
                <w:sz w:val="13"/>
                <w:szCs w:val="13"/>
                <w:color w:val="auto"/>
              </w:rPr>
              <w:t>Deferred income taxes</w:t>
            </w:r>
          </w:p>
        </w:tc>
        <w:tc>
          <w:tcPr>
            <w:tcW w:w="1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29</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jc w:val="right"/>
              <w:ind w:right="80"/>
              <w:spacing w:after="0" w:line="142" w:lineRule="exact"/>
              <w:rPr>
                <w:sz w:val="20"/>
                <w:szCs w:val="20"/>
                <w:color w:val="auto"/>
              </w:rPr>
            </w:pPr>
            <w:r>
              <w:rPr>
                <w:rFonts w:ascii="Arial" w:cs="Arial" w:eastAsia="Arial" w:hAnsi="Arial"/>
                <w:sz w:val="13"/>
                <w:szCs w:val="13"/>
                <w:color w:val="auto"/>
              </w:rPr>
              <w:t>(372)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Pr>
          <w:p>
            <w:pPr>
              <w:ind w:left="40"/>
              <w:spacing w:after="0" w:line="142" w:lineRule="exact"/>
              <w:rPr>
                <w:sz w:val="20"/>
                <w:szCs w:val="20"/>
                <w:color w:val="auto"/>
              </w:rPr>
            </w:pPr>
            <w:r>
              <w:rPr>
                <w:rFonts w:ascii="Arial" w:cs="Arial" w:eastAsia="Arial" w:hAnsi="Arial"/>
                <w:sz w:val="13"/>
                <w:szCs w:val="13"/>
                <w:color w:val="auto"/>
              </w:rPr>
              <w:t>Other, net</w:t>
            </w: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jc w:val="right"/>
              <w:spacing w:after="0" w:line="142" w:lineRule="exact"/>
              <w:rPr>
                <w:sz w:val="20"/>
                <w:szCs w:val="20"/>
                <w:color w:val="auto"/>
              </w:rPr>
            </w:pPr>
            <w:r>
              <w:rPr>
                <w:rFonts w:ascii="Arial" w:cs="Arial" w:eastAsia="Arial" w:hAnsi="Arial"/>
                <w:sz w:val="13"/>
                <w:szCs w:val="13"/>
                <w:color w:val="auto"/>
              </w:rPr>
              <w:t>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jc w:val="right"/>
              <w:spacing w:after="0" w:line="142" w:lineRule="exact"/>
              <w:rPr>
                <w:sz w:val="20"/>
                <w:szCs w:val="20"/>
                <w:color w:val="auto"/>
              </w:rPr>
            </w:pPr>
            <w:r>
              <w:rPr>
                <w:rFonts w:ascii="Arial" w:cs="Arial" w:eastAsia="Arial" w:hAnsi="Arial"/>
                <w:sz w:val="13"/>
                <w:szCs w:val="13"/>
                <w:color w:val="auto"/>
              </w:rPr>
              <w:t>182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shd w:val="clear" w:color="auto" w:fill="CFF0FC"/>
          </w:tcPr>
          <w:p>
            <w:pPr>
              <w:ind w:left="40"/>
              <w:spacing w:after="0" w:line="142" w:lineRule="exact"/>
              <w:rPr>
                <w:sz w:val="20"/>
                <w:szCs w:val="20"/>
                <w:color w:val="auto"/>
              </w:rPr>
            </w:pPr>
            <w:r>
              <w:rPr>
                <w:rFonts w:ascii="Arial" w:cs="Arial" w:eastAsia="Arial" w:hAnsi="Arial"/>
                <w:sz w:val="13"/>
                <w:szCs w:val="13"/>
                <w:color w:val="auto"/>
              </w:rPr>
              <w:t>Changes in assets and liabilities</w:t>
            </w:r>
          </w:p>
        </w:tc>
        <w:tc>
          <w:tcPr>
            <w:tcW w:w="1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120"/>
              <w:spacing w:after="0" w:line="142" w:lineRule="exact"/>
              <w:rPr>
                <w:sz w:val="20"/>
                <w:szCs w:val="20"/>
                <w:color w:val="auto"/>
              </w:rPr>
            </w:pPr>
            <w:r>
              <w:rPr>
                <w:rFonts w:ascii="Arial" w:cs="Arial" w:eastAsia="Arial" w:hAnsi="Arial"/>
                <w:sz w:val="13"/>
                <w:szCs w:val="13"/>
                <w:color w:val="auto"/>
              </w:rPr>
              <w:t>(944)</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jc w:val="right"/>
              <w:ind w:right="80"/>
              <w:spacing w:after="0" w:line="142" w:lineRule="exact"/>
              <w:rPr>
                <w:sz w:val="20"/>
                <w:szCs w:val="20"/>
                <w:color w:val="auto"/>
              </w:rPr>
            </w:pPr>
            <w:r>
              <w:rPr>
                <w:rFonts w:ascii="Arial" w:cs="Arial" w:eastAsia="Arial" w:hAnsi="Arial"/>
                <w:sz w:val="13"/>
                <w:szCs w:val="13"/>
                <w:color w:val="auto"/>
              </w:rPr>
              <w:t>(4,054)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5940" w:type="dxa"/>
            <w:vAlign w:val="bottom"/>
            <w:gridSpan w:val="2"/>
          </w:tcPr>
          <w:p>
            <w:pPr>
              <w:spacing w:after="0" w:line="134" w:lineRule="exact"/>
              <w:rPr>
                <w:sz w:val="20"/>
                <w:szCs w:val="20"/>
                <w:color w:val="auto"/>
              </w:rPr>
            </w:pPr>
            <w:r>
              <w:rPr>
                <w:rFonts w:ascii="Arial" w:cs="Arial" w:eastAsia="Arial" w:hAnsi="Arial"/>
                <w:sz w:val="13"/>
                <w:szCs w:val="13"/>
                <w:color w:val="auto"/>
              </w:rPr>
              <w:t>Net cash provided (used) by operating activities</w:t>
            </w: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jc w:val="right"/>
              <w:spacing w:after="0" w:line="134" w:lineRule="exact"/>
              <w:rPr>
                <w:sz w:val="20"/>
                <w:szCs w:val="20"/>
                <w:color w:val="auto"/>
              </w:rPr>
            </w:pPr>
            <w:r>
              <w:rPr>
                <w:rFonts w:ascii="Arial" w:cs="Arial" w:eastAsia="Arial" w:hAnsi="Arial"/>
                <w:sz w:val="13"/>
                <w:szCs w:val="13"/>
                <w:color w:val="auto"/>
              </w:rPr>
              <w:t>3,677</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60" w:type="dxa"/>
            <w:vAlign w:val="bottom"/>
            <w:gridSpan w:val="2"/>
          </w:tcPr>
          <w:p>
            <w:pPr>
              <w:jc w:val="right"/>
              <w:ind w:right="80"/>
              <w:spacing w:after="0" w:line="134" w:lineRule="exact"/>
              <w:rPr>
                <w:sz w:val="20"/>
                <w:szCs w:val="20"/>
                <w:color w:val="auto"/>
              </w:rPr>
            </w:pPr>
            <w:r>
              <w:rPr>
                <w:rFonts w:ascii="Arial" w:cs="Arial" w:eastAsia="Arial" w:hAnsi="Arial"/>
                <w:sz w:val="13"/>
                <w:szCs w:val="13"/>
                <w:color w:val="auto"/>
              </w:rPr>
              <w:t>(8,920)</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59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164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164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5920" w:type="dxa"/>
            <w:vAlign w:val="bottom"/>
          </w:tcPr>
          <w:p>
            <w:pPr>
              <w:spacing w:after="0" w:line="142" w:lineRule="exact"/>
              <w:rPr>
                <w:sz w:val="20"/>
                <w:szCs w:val="20"/>
                <w:color w:val="auto"/>
              </w:rPr>
            </w:pPr>
            <w:r>
              <w:rPr>
                <w:rFonts w:ascii="Arial" w:cs="Arial" w:eastAsia="Arial" w:hAnsi="Arial"/>
                <w:sz w:val="13"/>
                <w:szCs w:val="13"/>
                <w:i w:val="1"/>
                <w:iCs w:val="1"/>
                <w:color w:val="auto"/>
              </w:rPr>
              <w:t>Investing activities:</w:t>
            </w: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Capital expenditures</w:t>
            </w:r>
          </w:p>
        </w:tc>
        <w:tc>
          <w:tcPr>
            <w:tcW w:w="1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120"/>
              <w:spacing w:after="0" w:line="142" w:lineRule="exact"/>
              <w:rPr>
                <w:sz w:val="20"/>
                <w:szCs w:val="20"/>
                <w:color w:val="auto"/>
              </w:rPr>
            </w:pPr>
            <w:r>
              <w:rPr>
                <w:rFonts w:ascii="Arial" w:cs="Arial" w:eastAsia="Arial" w:hAnsi="Arial"/>
                <w:sz w:val="13"/>
                <w:szCs w:val="13"/>
                <w:color w:val="auto"/>
              </w:rPr>
              <w:t>(1,198)</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jc w:val="right"/>
              <w:ind w:right="80"/>
              <w:spacing w:after="0" w:line="142" w:lineRule="exact"/>
              <w:rPr>
                <w:sz w:val="20"/>
                <w:szCs w:val="20"/>
                <w:color w:val="auto"/>
              </w:rPr>
            </w:pPr>
            <w:r>
              <w:rPr>
                <w:rFonts w:ascii="Arial" w:cs="Arial" w:eastAsia="Arial" w:hAnsi="Arial"/>
                <w:sz w:val="13"/>
                <w:szCs w:val="13"/>
                <w:color w:val="auto"/>
              </w:rPr>
              <w:t>(2,029)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color w:val="auto"/>
              </w:rPr>
              <w:t>Proceeds from the sale of assets</w:t>
            </w:r>
          </w:p>
        </w:tc>
        <w:tc>
          <w:tcPr>
            <w:tcW w:w="124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40</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23</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920" w:type="dxa"/>
            <w:vAlign w:val="bottom"/>
            <w:tcBorders>
              <w:bottom w:val="single" w:sz="8" w:color="CFF0FC"/>
            </w:tcBorders>
            <w:shd w:val="clear" w:color="auto" w:fill="CFF0FC"/>
          </w:tcPr>
          <w:p>
            <w:pPr>
              <w:spacing w:after="0" w:line="134" w:lineRule="exact"/>
              <w:rPr>
                <w:sz w:val="20"/>
                <w:szCs w:val="20"/>
                <w:color w:val="auto"/>
              </w:rPr>
            </w:pPr>
            <w:r>
              <w:rPr>
                <w:rFonts w:ascii="Arial" w:cs="Arial" w:eastAsia="Arial" w:hAnsi="Arial"/>
                <w:sz w:val="13"/>
                <w:szCs w:val="13"/>
                <w:color w:val="auto"/>
              </w:rPr>
              <w:t>Net cash used by investing activities</w:t>
            </w:r>
          </w:p>
        </w:tc>
        <w:tc>
          <w:tcPr>
            <w:tcW w:w="124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auto"/>
            </w:tcBorders>
            <w:shd w:val="clear" w:color="auto" w:fill="CFF0FC"/>
          </w:tcPr>
          <w:p>
            <w:pPr>
              <w:spacing w:after="0"/>
              <w:rPr>
                <w:sz w:val="11"/>
                <w:szCs w:val="11"/>
                <w:color w:val="auto"/>
              </w:rPr>
            </w:pPr>
          </w:p>
        </w:tc>
        <w:tc>
          <w:tcPr>
            <w:tcW w:w="1640" w:type="dxa"/>
            <w:vAlign w:val="bottom"/>
            <w:tcBorders>
              <w:bottom w:val="single" w:sz="8" w:color="auto"/>
            </w:tcBorders>
            <w:shd w:val="clear" w:color="auto" w:fill="CFF0FC"/>
          </w:tcPr>
          <w:p>
            <w:pPr>
              <w:jc w:val="right"/>
              <w:spacing w:after="0" w:line="134" w:lineRule="exact"/>
              <w:rPr>
                <w:sz w:val="20"/>
                <w:szCs w:val="20"/>
                <w:color w:val="auto"/>
              </w:rPr>
            </w:pPr>
            <w:r>
              <w:rPr>
                <w:rFonts w:ascii="Arial" w:cs="Arial" w:eastAsia="Arial" w:hAnsi="Arial"/>
                <w:sz w:val="13"/>
                <w:szCs w:val="13"/>
                <w:color w:val="auto"/>
              </w:rPr>
              <w:t>(1,158)</w:t>
            </w:r>
          </w:p>
        </w:tc>
        <w:tc>
          <w:tcPr>
            <w:tcW w:w="1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auto"/>
            </w:tcBorders>
            <w:shd w:val="clear" w:color="auto" w:fill="CFF0FC"/>
          </w:tcPr>
          <w:p>
            <w:pPr>
              <w:spacing w:after="0"/>
              <w:rPr>
                <w:sz w:val="11"/>
                <w:szCs w:val="11"/>
                <w:color w:val="auto"/>
              </w:rPr>
            </w:pPr>
          </w:p>
        </w:tc>
        <w:tc>
          <w:tcPr>
            <w:tcW w:w="1640" w:type="dxa"/>
            <w:vAlign w:val="bottom"/>
            <w:tcBorders>
              <w:bottom w:val="single" w:sz="8" w:color="auto"/>
            </w:tcBorders>
            <w:shd w:val="clear" w:color="auto" w:fill="CFF0FC"/>
          </w:tcPr>
          <w:p>
            <w:pPr>
              <w:jc w:val="right"/>
              <w:spacing w:after="0" w:line="134" w:lineRule="exact"/>
              <w:rPr>
                <w:sz w:val="20"/>
                <w:szCs w:val="20"/>
                <w:color w:val="auto"/>
              </w:rPr>
            </w:pPr>
            <w:r>
              <w:rPr>
                <w:rFonts w:ascii="Arial" w:cs="Arial" w:eastAsia="Arial" w:hAnsi="Arial"/>
                <w:sz w:val="13"/>
                <w:szCs w:val="13"/>
                <w:color w:val="auto"/>
              </w:rPr>
              <w:t>(2,006)</w:t>
            </w: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59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5920" w:type="dxa"/>
            <w:vAlign w:val="bottom"/>
            <w:shd w:val="clear" w:color="auto" w:fill="CFF0FC"/>
          </w:tcPr>
          <w:p>
            <w:pPr>
              <w:spacing w:after="0" w:line="142" w:lineRule="exact"/>
              <w:rPr>
                <w:sz w:val="20"/>
                <w:szCs w:val="20"/>
                <w:color w:val="auto"/>
              </w:rPr>
            </w:pPr>
            <w:r>
              <w:rPr>
                <w:rFonts w:ascii="Arial" w:cs="Arial" w:eastAsia="Arial" w:hAnsi="Arial"/>
                <w:sz w:val="13"/>
                <w:szCs w:val="13"/>
                <w:i w:val="1"/>
                <w:iCs w:val="1"/>
                <w:color w:val="auto"/>
              </w:rPr>
              <w:t>Financing activities:</w:t>
            </w:r>
          </w:p>
        </w:tc>
        <w:tc>
          <w:tcPr>
            <w:tcW w:w="1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Pr>
          <w:p>
            <w:pPr>
              <w:spacing w:after="0" w:line="142" w:lineRule="exact"/>
              <w:rPr>
                <w:sz w:val="20"/>
                <w:szCs w:val="20"/>
                <w:color w:val="auto"/>
              </w:rPr>
            </w:pPr>
            <w:r>
              <w:rPr>
                <w:rFonts w:ascii="Arial" w:cs="Arial" w:eastAsia="Arial" w:hAnsi="Arial"/>
                <w:sz w:val="13"/>
                <w:szCs w:val="13"/>
                <w:color w:val="auto"/>
              </w:rPr>
              <w:t>Proceeds from long-term debt</w:t>
            </w: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jc w:val="right"/>
              <w:spacing w:after="0" w:line="142" w:lineRule="exact"/>
              <w:rPr>
                <w:sz w:val="20"/>
                <w:szCs w:val="20"/>
                <w:color w:val="auto"/>
              </w:rPr>
            </w:pPr>
            <w:r>
              <w:rPr>
                <w:rFonts w:ascii="Arial" w:cs="Arial" w:eastAsia="Arial" w:hAnsi="Arial"/>
                <w:sz w:val="13"/>
                <w:szCs w:val="13"/>
                <w:color w:val="auto"/>
              </w:rPr>
              <w:t>27,200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jc w:val="right"/>
              <w:spacing w:after="0" w:line="142" w:lineRule="exact"/>
              <w:rPr>
                <w:sz w:val="20"/>
                <w:szCs w:val="20"/>
                <w:color w:val="auto"/>
              </w:rPr>
            </w:pPr>
            <w:r>
              <w:rPr>
                <w:rFonts w:ascii="Arial" w:cs="Arial" w:eastAsia="Arial" w:hAnsi="Arial"/>
                <w:sz w:val="13"/>
                <w:szCs w:val="13"/>
                <w:color w:val="auto"/>
              </w:rPr>
              <w:t>51,900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Payments on long-term debt</w:t>
            </w:r>
          </w:p>
        </w:tc>
        <w:tc>
          <w:tcPr>
            <w:tcW w:w="1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120"/>
              <w:spacing w:after="0" w:line="142" w:lineRule="exact"/>
              <w:rPr>
                <w:sz w:val="20"/>
                <w:szCs w:val="20"/>
                <w:color w:val="auto"/>
              </w:rPr>
            </w:pPr>
            <w:r>
              <w:rPr>
                <w:rFonts w:ascii="Arial" w:cs="Arial" w:eastAsia="Arial" w:hAnsi="Arial"/>
                <w:sz w:val="13"/>
                <w:szCs w:val="13"/>
                <w:color w:val="auto"/>
              </w:rPr>
              <w:t>(28,739)</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jc w:val="right"/>
              <w:ind w:right="80"/>
              <w:spacing w:after="0" w:line="142" w:lineRule="exact"/>
              <w:rPr>
                <w:sz w:val="20"/>
                <w:szCs w:val="20"/>
                <w:color w:val="auto"/>
              </w:rPr>
            </w:pPr>
            <w:r>
              <w:rPr>
                <w:rFonts w:ascii="Arial" w:cs="Arial" w:eastAsia="Arial" w:hAnsi="Arial"/>
                <w:sz w:val="13"/>
                <w:szCs w:val="13"/>
                <w:color w:val="auto"/>
              </w:rPr>
              <w:t>(43,268)</w:t>
            </w:r>
          </w:p>
        </w:tc>
        <w:tc>
          <w:tcPr>
            <w:tcW w:w="0" w:type="dxa"/>
            <w:vAlign w:val="bottom"/>
          </w:tcPr>
          <w:p>
            <w:pPr>
              <w:spacing w:after="0"/>
              <w:rPr>
                <w:sz w:val="1"/>
                <w:szCs w:val="1"/>
                <w:color w:val="auto"/>
              </w:rPr>
            </w:pPr>
          </w:p>
        </w:tc>
      </w:tr>
      <w:tr>
        <w:trPr>
          <w:trHeight w:val="142"/>
        </w:trPr>
        <w:tc>
          <w:tcPr>
            <w:tcW w:w="5940" w:type="dxa"/>
            <w:vAlign w:val="bottom"/>
            <w:gridSpan w:val="2"/>
          </w:tcPr>
          <w:p>
            <w:pPr>
              <w:spacing w:after="0" w:line="142" w:lineRule="exact"/>
              <w:rPr>
                <w:sz w:val="20"/>
                <w:szCs w:val="20"/>
                <w:color w:val="auto"/>
              </w:rPr>
            </w:pPr>
            <w:r>
              <w:rPr>
                <w:rFonts w:ascii="Arial" w:cs="Arial" w:eastAsia="Arial" w:hAnsi="Arial"/>
                <w:sz w:val="13"/>
                <w:szCs w:val="13"/>
                <w:color w:val="auto"/>
              </w:rPr>
              <w:t>Other, net</w:t>
            </w:r>
          </w:p>
        </w:tc>
        <w:tc>
          <w:tcPr>
            <w:tcW w:w="1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Net cash (used) provided by financing activities</w:t>
            </w:r>
          </w:p>
        </w:tc>
        <w:tc>
          <w:tcPr>
            <w:tcW w:w="1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0" w:type="dxa"/>
            <w:vAlign w:val="bottom"/>
            <w:gridSpan w:val="2"/>
            <w:shd w:val="clear" w:color="auto" w:fill="CFF0FC"/>
          </w:tcPr>
          <w:p>
            <w:pPr>
              <w:jc w:val="right"/>
              <w:ind w:right="120"/>
              <w:spacing w:after="0" w:line="134" w:lineRule="exact"/>
              <w:rPr>
                <w:sz w:val="20"/>
                <w:szCs w:val="20"/>
                <w:color w:val="auto"/>
              </w:rPr>
            </w:pPr>
            <w:r>
              <w:rPr>
                <w:rFonts w:ascii="Arial" w:cs="Arial" w:eastAsia="Arial" w:hAnsi="Arial"/>
                <w:sz w:val="13"/>
                <w:szCs w:val="13"/>
                <w:color w:val="auto"/>
              </w:rPr>
              <w:t>(1,539)</w:t>
            </w: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4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8,632</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920" w:type="dxa"/>
            <w:vAlign w:val="bottom"/>
            <w:tcBorders>
              <w:top w:val="single" w:sz="8" w:color="CFF0FC"/>
            </w:tcBorders>
          </w:tcPr>
          <w:p>
            <w:pPr>
              <w:spacing w:after="0"/>
              <w:rPr>
                <w:sz w:val="11"/>
                <w:szCs w:val="11"/>
                <w:color w:val="auto"/>
              </w:rPr>
            </w:pPr>
          </w:p>
        </w:tc>
        <w:tc>
          <w:tcPr>
            <w:tcW w:w="124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Borders>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Effect of exchange rate changes on cash and cash equivalents</w:t>
            </w:r>
          </w:p>
        </w:tc>
        <w:tc>
          <w:tcPr>
            <w:tcW w:w="124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6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39</w:t>
            </w:r>
          </w:p>
        </w:tc>
        <w:tc>
          <w:tcPr>
            <w:tcW w:w="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6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185</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5940" w:type="dxa"/>
            <w:vAlign w:val="bottom"/>
            <w:gridSpan w:val="2"/>
          </w:tcPr>
          <w:p>
            <w:pPr>
              <w:spacing w:after="0" w:line="134" w:lineRule="exact"/>
              <w:rPr>
                <w:sz w:val="20"/>
                <w:szCs w:val="20"/>
                <w:color w:val="auto"/>
              </w:rPr>
            </w:pPr>
            <w:r>
              <w:rPr>
                <w:rFonts w:ascii="Arial" w:cs="Arial" w:eastAsia="Arial" w:hAnsi="Arial"/>
                <w:sz w:val="13"/>
                <w:szCs w:val="13"/>
                <w:color w:val="auto"/>
              </w:rPr>
              <w:t>Net increase (decrease) in cash and cash equivalents</w:t>
            </w: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jc w:val="right"/>
              <w:spacing w:after="0" w:line="134" w:lineRule="exact"/>
              <w:rPr>
                <w:sz w:val="20"/>
                <w:szCs w:val="20"/>
                <w:color w:val="auto"/>
              </w:rPr>
            </w:pPr>
            <w:r>
              <w:rPr>
                <w:rFonts w:ascii="Arial" w:cs="Arial" w:eastAsia="Arial" w:hAnsi="Arial"/>
                <w:sz w:val="13"/>
                <w:szCs w:val="13"/>
                <w:color w:val="auto"/>
              </w:rPr>
              <w:t>1,019</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60" w:type="dxa"/>
            <w:vAlign w:val="bottom"/>
            <w:gridSpan w:val="2"/>
          </w:tcPr>
          <w:p>
            <w:pPr>
              <w:jc w:val="right"/>
              <w:ind w:right="80"/>
              <w:spacing w:after="0" w:line="134" w:lineRule="exact"/>
              <w:rPr>
                <w:sz w:val="20"/>
                <w:szCs w:val="20"/>
                <w:color w:val="auto"/>
              </w:rPr>
            </w:pPr>
            <w:r>
              <w:rPr>
                <w:rFonts w:ascii="Arial" w:cs="Arial" w:eastAsia="Arial" w:hAnsi="Arial"/>
                <w:sz w:val="13"/>
                <w:szCs w:val="13"/>
                <w:color w:val="auto"/>
              </w:rPr>
              <w:t>(2,109)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20" w:type="dxa"/>
            <w:vAlign w:val="bottom"/>
            <w:tcBorders>
              <w:bottom w:val="single" w:sz="8" w:color="CFF0FC"/>
            </w:tcBorders>
            <w:shd w:val="clear" w:color="auto" w:fill="CFF0FC"/>
          </w:tcPr>
          <w:p>
            <w:pPr>
              <w:spacing w:after="0" w:line="134" w:lineRule="exact"/>
              <w:rPr>
                <w:sz w:val="20"/>
                <w:szCs w:val="20"/>
                <w:color w:val="auto"/>
              </w:rPr>
            </w:pPr>
            <w:r>
              <w:rPr>
                <w:rFonts w:ascii="Arial" w:cs="Arial" w:eastAsia="Arial" w:hAnsi="Arial"/>
                <w:sz w:val="13"/>
                <w:szCs w:val="13"/>
                <w:color w:val="auto"/>
              </w:rPr>
              <w:t>Cash and cash equivalents at end of period</w:t>
            </w:r>
          </w:p>
        </w:tc>
        <w:tc>
          <w:tcPr>
            <w:tcW w:w="12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jc w:val="right"/>
              <w:ind w:right="57"/>
              <w:spacing w:after="0" w:line="122" w:lineRule="exact"/>
              <w:rPr>
                <w:sz w:val="20"/>
                <w:szCs w:val="20"/>
                <w:color w:val="auto"/>
              </w:rPr>
            </w:pPr>
            <w:r>
              <w:rPr>
                <w:rFonts w:ascii="Arial" w:cs="Arial" w:eastAsia="Arial" w:hAnsi="Arial"/>
                <w:sz w:val="13"/>
                <w:szCs w:val="13"/>
                <w:color w:val="auto"/>
                <w:w w:val="82"/>
              </w:rPr>
              <w:t>$</w:t>
            </w:r>
          </w:p>
        </w:tc>
        <w:tc>
          <w:tcPr>
            <w:tcW w:w="1640" w:type="dxa"/>
            <w:vAlign w:val="bottom"/>
            <w:tcBorders>
              <w:top w:val="single" w:sz="8" w:color="auto"/>
              <w:bottom w:val="single" w:sz="8" w:color="auto"/>
            </w:tcBorders>
            <w:shd w:val="clear" w:color="auto" w:fill="CFF0FC"/>
          </w:tcPr>
          <w:p>
            <w:pPr>
              <w:jc w:val="right"/>
              <w:spacing w:after="0" w:line="122" w:lineRule="exact"/>
              <w:rPr>
                <w:sz w:val="20"/>
                <w:szCs w:val="20"/>
                <w:color w:val="auto"/>
              </w:rPr>
            </w:pPr>
            <w:r>
              <w:rPr>
                <w:rFonts w:ascii="Arial" w:cs="Arial" w:eastAsia="Arial" w:hAnsi="Arial"/>
                <w:sz w:val="13"/>
                <w:szCs w:val="13"/>
                <w:color w:val="auto"/>
              </w:rPr>
              <w:t>26,091</w:t>
            </w:r>
          </w:p>
        </w:tc>
        <w:tc>
          <w:tcPr>
            <w:tcW w:w="1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jc w:val="right"/>
              <w:ind w:right="57"/>
              <w:spacing w:after="0" w:line="122" w:lineRule="exact"/>
              <w:rPr>
                <w:sz w:val="20"/>
                <w:szCs w:val="20"/>
                <w:color w:val="auto"/>
              </w:rPr>
            </w:pPr>
            <w:r>
              <w:rPr>
                <w:rFonts w:ascii="Arial" w:cs="Arial" w:eastAsia="Arial" w:hAnsi="Arial"/>
                <w:sz w:val="13"/>
                <w:szCs w:val="13"/>
                <w:color w:val="auto"/>
                <w:w w:val="82"/>
              </w:rPr>
              <w:t>$</w:t>
            </w:r>
          </w:p>
        </w:tc>
        <w:tc>
          <w:tcPr>
            <w:tcW w:w="1640" w:type="dxa"/>
            <w:vAlign w:val="bottom"/>
            <w:tcBorders>
              <w:top w:val="single" w:sz="8" w:color="auto"/>
              <w:bottom w:val="single" w:sz="8" w:color="auto"/>
            </w:tcBorders>
            <w:shd w:val="clear" w:color="auto" w:fill="CFF0FC"/>
          </w:tcPr>
          <w:p>
            <w:pPr>
              <w:jc w:val="right"/>
              <w:spacing w:after="0" w:line="122" w:lineRule="exact"/>
              <w:rPr>
                <w:sz w:val="20"/>
                <w:szCs w:val="20"/>
                <w:color w:val="auto"/>
              </w:rPr>
            </w:pPr>
            <w:r>
              <w:rPr>
                <w:rFonts w:ascii="Arial" w:cs="Arial" w:eastAsia="Arial" w:hAnsi="Arial"/>
                <w:sz w:val="13"/>
                <w:szCs w:val="13"/>
                <w:color w:val="auto"/>
              </w:rPr>
              <w:t>20,555</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27"/>
        </w:trPr>
        <w:tc>
          <w:tcPr>
            <w:tcW w:w="20" w:type="dxa"/>
            <w:vAlign w:val="bottom"/>
            <w:tcBorders>
              <w:bottom w:val="single" w:sz="8" w:color="9A9A9A"/>
            </w:tcBorders>
          </w:tcPr>
          <w:p>
            <w:pPr>
              <w:spacing w:after="0"/>
              <w:rPr>
                <w:sz w:val="24"/>
                <w:szCs w:val="24"/>
                <w:color w:val="auto"/>
              </w:rPr>
            </w:pPr>
          </w:p>
        </w:tc>
        <w:tc>
          <w:tcPr>
            <w:tcW w:w="59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5726430</wp:posOffset>
            </wp:positionH>
            <wp:positionV relativeFrom="paragraph">
              <wp:posOffset>-2395220</wp:posOffset>
            </wp:positionV>
            <wp:extent cx="6731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-2395220</wp:posOffset>
            </wp:positionV>
            <wp:extent cx="6731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5713730</wp:posOffset>
            </wp:positionH>
            <wp:positionV relativeFrom="paragraph">
              <wp:posOffset>-1941830</wp:posOffset>
            </wp:positionV>
            <wp:extent cx="92710" cy="1308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2710" cy="130810"/>
                    </a:xfrm>
                    <a:prstGeom prst="rect">
                      <a:avLst/>
                    </a:prstGeom>
                    <a:noFill/>
                  </pic:spPr>
                </pic:pic>
              </a:graphicData>
            </a:graphic>
          </wp:anchor>
        </w:drawing>
        <w:drawing>
          <wp:anchor simplePos="0" relativeHeight="251657728" behindDoc="1" locked="0" layoutInCell="0" allowOverlap="1">
            <wp:simplePos x="0" y="0"/>
            <wp:positionH relativeFrom="column">
              <wp:posOffset>7065645</wp:posOffset>
            </wp:positionH>
            <wp:positionV relativeFrom="paragraph">
              <wp:posOffset>-1941830</wp:posOffset>
            </wp:positionV>
            <wp:extent cx="92710" cy="1308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2710" cy="130810"/>
                    </a:xfrm>
                    <a:prstGeom prst="rect">
                      <a:avLst/>
                    </a:prstGeom>
                    <a:noFill/>
                  </pic:spPr>
                </pic:pic>
              </a:graphicData>
            </a:graphic>
          </wp:anchor>
        </w:drawing>
        <w:drawing>
          <wp:anchor simplePos="0" relativeHeight="251657728" behindDoc="1" locked="0" layoutInCell="0" allowOverlap="1">
            <wp:simplePos x="0" y="0"/>
            <wp:positionH relativeFrom="column">
              <wp:posOffset>5726430</wp:posOffset>
            </wp:positionH>
            <wp:positionV relativeFrom="paragraph">
              <wp:posOffset>-1275715</wp:posOffset>
            </wp:positionV>
            <wp:extent cx="6731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-1275715</wp:posOffset>
            </wp:positionV>
            <wp:extent cx="6731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5726430</wp:posOffset>
            </wp:positionH>
            <wp:positionV relativeFrom="paragraph">
              <wp:posOffset>-1088390</wp:posOffset>
            </wp:positionV>
            <wp:extent cx="6731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-1088390</wp:posOffset>
            </wp:positionV>
            <wp:extent cx="6731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5726430</wp:posOffset>
            </wp:positionH>
            <wp:positionV relativeFrom="paragraph">
              <wp:posOffset>-892810</wp:posOffset>
            </wp:positionV>
            <wp:extent cx="6731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5726430</wp:posOffset>
            </wp:positionH>
            <wp:positionV relativeFrom="paragraph">
              <wp:posOffset>-878205</wp:posOffset>
            </wp:positionV>
            <wp:extent cx="6731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-892810</wp:posOffset>
            </wp:positionV>
            <wp:extent cx="6731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-878205</wp:posOffset>
            </wp:positionV>
            <wp:extent cx="6731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2" w:name="page13"/>
    <w:bookmarkEnd w:id="12"/>
    <w:p>
      <w:pPr>
        <w:spacing w:after="0" w:line="3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1081405" cy="4057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1081405" cy="405765"/>
                    </a:xfrm>
                    <a:prstGeom prst="rect">
                      <a:avLst/>
                    </a:prstGeom>
                    <a:noFill/>
                  </pic:spPr>
                </pic:pic>
              </a:graphicData>
            </a:graphic>
          </wp:anchor>
        </w:drawing>
      </w:r>
    </w:p>
    <w:p>
      <w:pPr>
        <w:jc w:val="center"/>
        <w:ind w:right="-4"/>
        <w:spacing w:after="0"/>
        <w:rPr>
          <w:sz w:val="20"/>
          <w:szCs w:val="20"/>
          <w:color w:val="auto"/>
        </w:rPr>
      </w:pPr>
      <w:r>
        <w:rPr>
          <w:rFonts w:ascii="Arial" w:cs="Arial" w:eastAsia="Arial" w:hAnsi="Arial"/>
          <w:sz w:val="13"/>
          <w:szCs w:val="13"/>
          <w:b w:val="1"/>
          <w:bCs w:val="1"/>
          <w:color w:val="auto"/>
        </w:rPr>
        <w:t>BUSINESS SEGMENT INFORMATION</w:t>
      </w:r>
    </w:p>
    <w:p>
      <w:pPr>
        <w:jc w:val="center"/>
        <w:ind w:right="-4"/>
        <w:spacing w:after="0" w:line="234" w:lineRule="auto"/>
        <w:rPr>
          <w:sz w:val="20"/>
          <w:szCs w:val="20"/>
          <w:color w:val="auto"/>
        </w:rPr>
      </w:pPr>
      <w:r>
        <w:rPr>
          <w:rFonts w:ascii="Arial" w:cs="Arial" w:eastAsia="Arial" w:hAnsi="Arial"/>
          <w:sz w:val="13"/>
          <w:szCs w:val="13"/>
          <w:b w:val="1"/>
          <w:bCs w:val="1"/>
          <w:color w:val="auto"/>
        </w:rPr>
        <w:t>(Unaudited)</w:t>
      </w:r>
    </w:p>
    <w:p>
      <w:pPr>
        <w:spacing w:after="0" w:line="1" w:lineRule="exact"/>
        <w:rPr>
          <w:sz w:val="20"/>
          <w:szCs w:val="20"/>
          <w:color w:val="auto"/>
        </w:rPr>
      </w:pPr>
    </w:p>
    <w:p>
      <w:pPr>
        <w:jc w:val="center"/>
        <w:ind w:right="-4"/>
        <w:spacing w:after="0"/>
        <w:rPr>
          <w:sz w:val="20"/>
          <w:szCs w:val="20"/>
          <w:color w:val="auto"/>
        </w:rPr>
      </w:pPr>
      <w:r>
        <w:rPr>
          <w:rFonts w:ascii="Arial" w:cs="Arial" w:eastAsia="Arial" w:hAnsi="Arial"/>
          <w:sz w:val="13"/>
          <w:szCs w:val="13"/>
          <w:b w:val="1"/>
          <w:bCs w:val="1"/>
          <w:color w:val="auto"/>
        </w:rPr>
        <w:t>(In thousands)</w:t>
      </w:r>
    </w:p>
    <w:p>
      <w:pPr>
        <w:spacing w:after="0" w:line="75" w:lineRule="exact"/>
        <w:rPr>
          <w:sz w:val="20"/>
          <w:szCs w:val="20"/>
          <w:color w:val="auto"/>
        </w:rPr>
      </w:pPr>
    </w:p>
    <w:tbl>
      <w:tblPr>
        <w:tblLayout w:type="fixed"/>
        <w:tblInd w:w="5" w:type="dxa"/>
        <w:tblCellMar>
          <w:top w:w="0" w:type="dxa"/>
          <w:left w:w="0" w:type="dxa"/>
          <w:bottom w:w="0" w:type="dxa"/>
          <w:right w:w="0" w:type="dxa"/>
        </w:tblCellMar>
      </w:tblPr>
      <w:tr>
        <w:trPr>
          <w:trHeight w:val="166"/>
        </w:trPr>
        <w:tc>
          <w:tcPr>
            <w:tcW w:w="7180" w:type="dxa"/>
            <w:vAlign w:val="bottom"/>
          </w:tcPr>
          <w:p>
            <w:pPr>
              <w:spacing w:after="0"/>
              <w:rPr>
                <w:sz w:val="20"/>
                <w:szCs w:val="20"/>
                <w:color w:val="auto"/>
              </w:rPr>
            </w:pPr>
            <w:r>
              <w:rPr>
                <w:rFonts w:ascii="Arial" w:cs="Arial" w:eastAsia="Arial" w:hAnsi="Arial"/>
                <w:sz w:val="13"/>
                <w:szCs w:val="13"/>
                <w:color w:val="auto"/>
              </w:rPr>
              <w:t>Net sales and gross profit (loss) details for each reportable segment of UNIFI are as follows:</w:t>
            </w: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20"/>
        </w:trPr>
        <w:tc>
          <w:tcPr>
            <w:tcW w:w="7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80" w:type="dxa"/>
            <w:vAlign w:val="bottom"/>
            <w:gridSpan w:val="5"/>
          </w:tcPr>
          <w:p>
            <w:pPr>
              <w:ind w:left="920"/>
              <w:spacing w:after="0"/>
              <w:rPr>
                <w:sz w:val="20"/>
                <w:szCs w:val="20"/>
                <w:color w:val="auto"/>
              </w:rPr>
            </w:pPr>
            <w:r>
              <w:rPr>
                <w:rFonts w:ascii="Arial" w:cs="Arial" w:eastAsia="Arial" w:hAnsi="Arial"/>
                <w:sz w:val="13"/>
                <w:szCs w:val="13"/>
                <w:b w:val="1"/>
                <w:bCs w:val="1"/>
                <w:color w:val="auto"/>
              </w:rPr>
              <w:t>For the Three Months Ended</w:t>
            </w:r>
          </w:p>
        </w:tc>
      </w:tr>
      <w:tr>
        <w:trPr>
          <w:trHeight w:val="134"/>
        </w:trPr>
        <w:tc>
          <w:tcPr>
            <w:tcW w:w="718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640" w:type="dxa"/>
            <w:vAlign w:val="bottom"/>
            <w:tcBorders>
              <w:top w:val="single" w:sz="8" w:color="auto"/>
              <w:bottom w:val="single" w:sz="8" w:color="auto"/>
            </w:tcBorders>
          </w:tcPr>
          <w:p>
            <w:pPr>
              <w:jc w:val="right"/>
              <w:ind w:right="277"/>
              <w:spacing w:after="0" w:line="134" w:lineRule="exact"/>
              <w:rPr>
                <w:sz w:val="20"/>
                <w:szCs w:val="20"/>
                <w:color w:val="auto"/>
              </w:rPr>
            </w:pPr>
            <w:r>
              <w:rPr>
                <w:rFonts w:ascii="Arial" w:cs="Arial" w:eastAsia="Arial" w:hAnsi="Arial"/>
                <w:sz w:val="13"/>
                <w:szCs w:val="13"/>
                <w:b w:val="1"/>
                <w:bCs w:val="1"/>
                <w:color w:val="auto"/>
              </w:rPr>
              <w:t>September 27, 2026</w:t>
            </w:r>
          </w:p>
        </w:tc>
        <w:tc>
          <w:tcPr>
            <w:tcW w:w="280" w:type="dxa"/>
            <w:vAlign w:val="bottom"/>
            <w:tcBorders>
              <w:top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640" w:type="dxa"/>
            <w:vAlign w:val="bottom"/>
            <w:tcBorders>
              <w:top w:val="single" w:sz="8" w:color="auto"/>
              <w:bottom w:val="single" w:sz="8" w:color="auto"/>
            </w:tcBorders>
          </w:tcPr>
          <w:p>
            <w:pPr>
              <w:jc w:val="right"/>
              <w:ind w:right="277"/>
              <w:spacing w:after="0" w:line="134" w:lineRule="exact"/>
              <w:rPr>
                <w:sz w:val="20"/>
                <w:szCs w:val="20"/>
                <w:color w:val="auto"/>
              </w:rPr>
            </w:pPr>
            <w:r>
              <w:rPr>
                <w:rFonts w:ascii="Arial" w:cs="Arial" w:eastAsia="Arial" w:hAnsi="Arial"/>
                <w:sz w:val="13"/>
                <w:szCs w:val="13"/>
                <w:b w:val="1"/>
                <w:bCs w:val="1"/>
                <w:color w:val="auto"/>
              </w:rPr>
              <w:t>September 28, 2025</w:t>
            </w:r>
          </w:p>
        </w:tc>
        <w:tc>
          <w:tcPr>
            <w:tcW w:w="120" w:type="dxa"/>
            <w:vAlign w:val="bottom"/>
          </w:tcPr>
          <w:p>
            <w:pPr>
              <w:spacing w:after="0"/>
              <w:rPr>
                <w:sz w:val="11"/>
                <w:szCs w:val="11"/>
                <w:color w:val="auto"/>
              </w:rPr>
            </w:pPr>
          </w:p>
        </w:tc>
      </w:tr>
      <w:tr>
        <w:trPr>
          <w:trHeight w:val="134"/>
        </w:trPr>
        <w:tc>
          <w:tcPr>
            <w:tcW w:w="71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Americas</w:t>
            </w:r>
          </w:p>
        </w:tc>
        <w:tc>
          <w:tcPr>
            <w:tcW w:w="200" w:type="dxa"/>
            <w:vAlign w:val="bottom"/>
            <w:shd w:val="clear" w:color="auto" w:fill="CFF0FC"/>
          </w:tcPr>
          <w:p>
            <w:pPr>
              <w:jc w:val="right"/>
              <w:ind w:right="57"/>
              <w:spacing w:after="0" w:line="134" w:lineRule="exact"/>
              <w:rPr>
                <w:sz w:val="20"/>
                <w:szCs w:val="20"/>
                <w:color w:val="auto"/>
              </w:rPr>
            </w:pPr>
            <w:r>
              <w:rPr>
                <w:rFonts w:ascii="Arial" w:cs="Arial" w:eastAsia="Arial" w:hAnsi="Arial"/>
                <w:sz w:val="13"/>
                <w:szCs w:val="13"/>
                <w:color w:val="auto"/>
                <w:w w:val="82"/>
              </w:rPr>
              <w:t>$</w:t>
            </w:r>
          </w:p>
        </w:tc>
        <w:tc>
          <w:tcPr>
            <w:tcW w:w="164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76,962</w:t>
            </w:r>
          </w:p>
        </w:tc>
        <w:tc>
          <w:tcPr>
            <w:tcW w:w="480" w:type="dxa"/>
            <w:vAlign w:val="bottom"/>
            <w:gridSpan w:val="2"/>
            <w:shd w:val="clear" w:color="auto" w:fill="CFF0FC"/>
          </w:tcPr>
          <w:p>
            <w:pPr>
              <w:jc w:val="right"/>
              <w:ind w:right="57"/>
              <w:spacing w:after="0" w:line="134" w:lineRule="exact"/>
              <w:rPr>
                <w:sz w:val="20"/>
                <w:szCs w:val="20"/>
                <w:color w:val="auto"/>
              </w:rPr>
            </w:pPr>
            <w:r>
              <w:rPr>
                <w:rFonts w:ascii="Arial" w:cs="Arial" w:eastAsia="Arial" w:hAnsi="Arial"/>
                <w:sz w:val="13"/>
                <w:szCs w:val="13"/>
                <w:color w:val="auto"/>
              </w:rPr>
              <w:t>$</w:t>
            </w:r>
          </w:p>
        </w:tc>
        <w:tc>
          <w:tcPr>
            <w:tcW w:w="164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85,196</w:t>
            </w:r>
          </w:p>
        </w:tc>
        <w:tc>
          <w:tcPr>
            <w:tcW w:w="120" w:type="dxa"/>
            <w:vAlign w:val="bottom"/>
            <w:shd w:val="clear" w:color="auto" w:fill="CFF0FC"/>
          </w:tcPr>
          <w:p>
            <w:pPr>
              <w:spacing w:after="0"/>
              <w:rPr>
                <w:sz w:val="11"/>
                <w:szCs w:val="11"/>
                <w:color w:val="auto"/>
              </w:rPr>
            </w:pPr>
          </w:p>
        </w:tc>
      </w:tr>
      <w:tr>
        <w:trPr>
          <w:trHeight w:val="142"/>
        </w:trPr>
        <w:tc>
          <w:tcPr>
            <w:tcW w:w="7180" w:type="dxa"/>
            <w:vAlign w:val="bottom"/>
          </w:tcPr>
          <w:p>
            <w:pPr>
              <w:spacing w:after="0" w:line="142" w:lineRule="exact"/>
              <w:rPr>
                <w:sz w:val="20"/>
                <w:szCs w:val="20"/>
                <w:color w:val="auto"/>
              </w:rPr>
            </w:pPr>
            <w:r>
              <w:rPr>
                <w:rFonts w:ascii="Arial" w:cs="Arial" w:eastAsia="Arial" w:hAnsi="Arial"/>
                <w:sz w:val="13"/>
                <w:szCs w:val="13"/>
                <w:color w:val="auto"/>
              </w:rPr>
              <w:t>Brazil</w:t>
            </w:r>
          </w:p>
        </w:tc>
        <w:tc>
          <w:tcPr>
            <w:tcW w:w="200" w:type="dxa"/>
            <w:vAlign w:val="bottom"/>
          </w:tcPr>
          <w:p>
            <w:pPr>
              <w:spacing w:after="0"/>
              <w:rPr>
                <w:sz w:val="12"/>
                <w:szCs w:val="12"/>
                <w:color w:val="auto"/>
              </w:rPr>
            </w:pPr>
          </w:p>
        </w:tc>
        <w:tc>
          <w:tcPr>
            <w:tcW w:w="1640" w:type="dxa"/>
            <w:vAlign w:val="bottom"/>
          </w:tcPr>
          <w:p>
            <w:pPr>
              <w:jc w:val="right"/>
              <w:spacing w:after="0" w:line="142" w:lineRule="exact"/>
              <w:rPr>
                <w:sz w:val="20"/>
                <w:szCs w:val="20"/>
                <w:color w:val="auto"/>
              </w:rPr>
            </w:pPr>
            <w:r>
              <w:rPr>
                <w:rFonts w:ascii="Arial" w:cs="Arial" w:eastAsia="Arial" w:hAnsi="Arial"/>
                <w:sz w:val="13"/>
                <w:szCs w:val="13"/>
                <w:color w:val="auto"/>
              </w:rPr>
              <w:t>32,912</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jc w:val="right"/>
              <w:spacing w:after="0" w:line="142" w:lineRule="exact"/>
              <w:rPr>
                <w:sz w:val="20"/>
                <w:szCs w:val="20"/>
                <w:color w:val="auto"/>
              </w:rPr>
            </w:pPr>
            <w:r>
              <w:rPr>
                <w:rFonts w:ascii="Arial" w:cs="Arial" w:eastAsia="Arial" w:hAnsi="Arial"/>
                <w:sz w:val="13"/>
                <w:szCs w:val="13"/>
                <w:color w:val="auto"/>
              </w:rPr>
              <w:t>28,761</w:t>
            </w:r>
          </w:p>
        </w:tc>
        <w:tc>
          <w:tcPr>
            <w:tcW w:w="120" w:type="dxa"/>
            <w:vAlign w:val="bottom"/>
          </w:tcPr>
          <w:p>
            <w:pPr>
              <w:spacing w:after="0"/>
              <w:rPr>
                <w:sz w:val="12"/>
                <w:szCs w:val="12"/>
                <w:color w:val="auto"/>
              </w:rPr>
            </w:pPr>
          </w:p>
        </w:tc>
      </w:tr>
      <w:tr>
        <w:trPr>
          <w:trHeight w:val="142"/>
        </w:trPr>
        <w:tc>
          <w:tcPr>
            <w:tcW w:w="7180" w:type="dxa"/>
            <w:vAlign w:val="bottom"/>
            <w:tcBorders>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Asia</w:t>
            </w:r>
          </w:p>
        </w:tc>
        <w:tc>
          <w:tcPr>
            <w:tcW w:w="200" w:type="dxa"/>
            <w:vAlign w:val="bottom"/>
            <w:tcBorders>
              <w:bottom w:val="single" w:sz="8" w:color="auto"/>
            </w:tcBorders>
            <w:shd w:val="clear" w:color="auto" w:fill="CFF0FC"/>
          </w:tcPr>
          <w:p>
            <w:pPr>
              <w:spacing w:after="0"/>
              <w:rPr>
                <w:sz w:val="12"/>
                <w:szCs w:val="12"/>
                <w:color w:val="auto"/>
              </w:rPr>
            </w:pPr>
          </w:p>
        </w:tc>
        <w:tc>
          <w:tcPr>
            <w:tcW w:w="16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18,046</w:t>
            </w:r>
          </w:p>
        </w:tc>
        <w:tc>
          <w:tcPr>
            <w:tcW w:w="28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6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21,717</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34"/>
        </w:trPr>
        <w:tc>
          <w:tcPr>
            <w:tcW w:w="7180" w:type="dxa"/>
            <w:vAlign w:val="bottom"/>
          </w:tcPr>
          <w:p>
            <w:pPr>
              <w:spacing w:after="0" w:line="134" w:lineRule="exact"/>
              <w:rPr>
                <w:sz w:val="20"/>
                <w:szCs w:val="20"/>
                <w:color w:val="auto"/>
              </w:rPr>
            </w:pPr>
            <w:r>
              <w:rPr>
                <w:rFonts w:ascii="Arial" w:cs="Arial" w:eastAsia="Arial" w:hAnsi="Arial"/>
                <w:sz w:val="13"/>
                <w:szCs w:val="13"/>
                <w:color w:val="auto"/>
              </w:rPr>
              <w:t>Consolidated net sales</w:t>
            </w:r>
          </w:p>
        </w:tc>
        <w:tc>
          <w:tcPr>
            <w:tcW w:w="200" w:type="dxa"/>
            <w:vAlign w:val="bottom"/>
            <w:tcBorders>
              <w:bottom w:val="single" w:sz="8" w:color="auto"/>
            </w:tcBorders>
          </w:tcPr>
          <w:p>
            <w:pPr>
              <w:jc w:val="right"/>
              <w:ind w:right="57"/>
              <w:spacing w:after="0" w:line="122" w:lineRule="exact"/>
              <w:rPr>
                <w:sz w:val="20"/>
                <w:szCs w:val="20"/>
                <w:color w:val="auto"/>
              </w:rPr>
            </w:pPr>
            <w:r>
              <w:rPr>
                <w:rFonts w:ascii="Arial" w:cs="Arial" w:eastAsia="Arial" w:hAnsi="Arial"/>
                <w:sz w:val="13"/>
                <w:szCs w:val="13"/>
                <w:color w:val="auto"/>
                <w:w w:val="82"/>
              </w:rPr>
              <w:t>$</w:t>
            </w:r>
          </w:p>
        </w:tc>
        <w:tc>
          <w:tcPr>
            <w:tcW w:w="16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127,920</w:t>
            </w:r>
          </w:p>
        </w:tc>
        <w:tc>
          <w:tcPr>
            <w:tcW w:w="280" w:type="dxa"/>
            <w:vAlign w:val="bottom"/>
          </w:tcPr>
          <w:p>
            <w:pPr>
              <w:spacing w:after="0"/>
              <w:rPr>
                <w:sz w:val="11"/>
                <w:szCs w:val="11"/>
                <w:color w:val="auto"/>
              </w:rPr>
            </w:pPr>
          </w:p>
        </w:tc>
        <w:tc>
          <w:tcPr>
            <w:tcW w:w="200" w:type="dxa"/>
            <w:vAlign w:val="bottom"/>
            <w:tcBorders>
              <w:bottom w:val="single" w:sz="8" w:color="auto"/>
            </w:tcBorders>
          </w:tcPr>
          <w:p>
            <w:pPr>
              <w:jc w:val="right"/>
              <w:ind w:right="57"/>
              <w:spacing w:after="0" w:line="122" w:lineRule="exact"/>
              <w:rPr>
                <w:sz w:val="20"/>
                <w:szCs w:val="20"/>
                <w:color w:val="auto"/>
              </w:rPr>
            </w:pPr>
            <w:r>
              <w:rPr>
                <w:rFonts w:ascii="Arial" w:cs="Arial" w:eastAsia="Arial" w:hAnsi="Arial"/>
                <w:sz w:val="13"/>
                <w:szCs w:val="13"/>
                <w:color w:val="auto"/>
                <w:w w:val="82"/>
              </w:rPr>
              <w:t>$</w:t>
            </w:r>
          </w:p>
        </w:tc>
        <w:tc>
          <w:tcPr>
            <w:tcW w:w="16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135,674</w:t>
            </w:r>
          </w:p>
        </w:tc>
        <w:tc>
          <w:tcPr>
            <w:tcW w:w="120" w:type="dxa"/>
            <w:vAlign w:val="bottom"/>
          </w:tcPr>
          <w:p>
            <w:pPr>
              <w:spacing w:after="0"/>
              <w:rPr>
                <w:sz w:val="11"/>
                <w:szCs w:val="11"/>
                <w:color w:val="auto"/>
              </w:rPr>
            </w:pPr>
          </w:p>
        </w:tc>
      </w:tr>
      <w:tr>
        <w:trPr>
          <w:trHeight w:val="20"/>
        </w:trPr>
        <w:tc>
          <w:tcPr>
            <w:tcW w:w="7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5730240</wp:posOffset>
            </wp:positionH>
            <wp:positionV relativeFrom="paragraph">
              <wp:posOffset>-119380</wp:posOffset>
            </wp:positionV>
            <wp:extent cx="6731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-119380</wp:posOffset>
            </wp:positionV>
            <wp:extent cx="6731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14" w:lineRule="exact"/>
        <w:rPr>
          <w:sz w:val="20"/>
          <w:szCs w:val="20"/>
          <w:color w:val="auto"/>
        </w:rPr>
      </w:pPr>
    </w:p>
    <w:tbl>
      <w:tblPr>
        <w:tblLayout w:type="fixed"/>
        <w:tblInd w:w="5" w:type="dxa"/>
        <w:tblCellMar>
          <w:top w:w="0" w:type="dxa"/>
          <w:left w:w="0" w:type="dxa"/>
          <w:bottom w:w="0" w:type="dxa"/>
          <w:right w:w="0" w:type="dxa"/>
        </w:tblCellMar>
      </w:tblPr>
      <w:tr>
        <w:trPr>
          <w:trHeight w:val="150"/>
        </w:trPr>
        <w:tc>
          <w:tcPr>
            <w:tcW w:w="7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80" w:type="dxa"/>
            <w:vAlign w:val="bottom"/>
            <w:gridSpan w:val="5"/>
          </w:tcPr>
          <w:p>
            <w:pPr>
              <w:jc w:val="right"/>
              <w:ind w:right="1240"/>
              <w:spacing w:after="0"/>
              <w:rPr>
                <w:sz w:val="20"/>
                <w:szCs w:val="20"/>
                <w:color w:val="auto"/>
              </w:rPr>
            </w:pPr>
            <w:r>
              <w:rPr>
                <w:rFonts w:ascii="Arial" w:cs="Arial" w:eastAsia="Arial" w:hAnsi="Arial"/>
                <w:sz w:val="13"/>
                <w:szCs w:val="13"/>
                <w:b w:val="1"/>
                <w:bCs w:val="1"/>
                <w:color w:val="auto"/>
              </w:rPr>
              <w:t>For the Three Months Ended</w:t>
            </w:r>
          </w:p>
        </w:tc>
      </w:tr>
      <w:tr>
        <w:trPr>
          <w:trHeight w:val="134"/>
        </w:trPr>
        <w:tc>
          <w:tcPr>
            <w:tcW w:w="718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640" w:type="dxa"/>
            <w:vAlign w:val="bottom"/>
            <w:tcBorders>
              <w:top w:val="single" w:sz="8" w:color="auto"/>
              <w:bottom w:val="single" w:sz="8" w:color="auto"/>
            </w:tcBorders>
          </w:tcPr>
          <w:p>
            <w:pPr>
              <w:jc w:val="right"/>
              <w:ind w:right="277"/>
              <w:spacing w:after="0" w:line="134" w:lineRule="exact"/>
              <w:rPr>
                <w:sz w:val="20"/>
                <w:szCs w:val="20"/>
                <w:color w:val="auto"/>
              </w:rPr>
            </w:pPr>
            <w:r>
              <w:rPr>
                <w:rFonts w:ascii="Arial" w:cs="Arial" w:eastAsia="Arial" w:hAnsi="Arial"/>
                <w:sz w:val="13"/>
                <w:szCs w:val="13"/>
                <w:b w:val="1"/>
                <w:bCs w:val="1"/>
                <w:color w:val="auto"/>
              </w:rPr>
              <w:t>September 27, 2026</w:t>
            </w:r>
          </w:p>
        </w:tc>
        <w:tc>
          <w:tcPr>
            <w:tcW w:w="280" w:type="dxa"/>
            <w:vAlign w:val="bottom"/>
            <w:tcBorders>
              <w:top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640" w:type="dxa"/>
            <w:vAlign w:val="bottom"/>
            <w:tcBorders>
              <w:top w:val="single" w:sz="8" w:color="auto"/>
              <w:bottom w:val="single" w:sz="8" w:color="auto"/>
            </w:tcBorders>
          </w:tcPr>
          <w:p>
            <w:pPr>
              <w:jc w:val="right"/>
              <w:ind w:right="277"/>
              <w:spacing w:after="0" w:line="134" w:lineRule="exact"/>
              <w:rPr>
                <w:sz w:val="20"/>
                <w:szCs w:val="20"/>
                <w:color w:val="auto"/>
              </w:rPr>
            </w:pPr>
            <w:r>
              <w:rPr>
                <w:rFonts w:ascii="Arial" w:cs="Arial" w:eastAsia="Arial" w:hAnsi="Arial"/>
                <w:sz w:val="13"/>
                <w:szCs w:val="13"/>
                <w:b w:val="1"/>
                <w:bCs w:val="1"/>
                <w:color w:val="auto"/>
              </w:rPr>
              <w:t>September 28, 2025</w:t>
            </w:r>
          </w:p>
        </w:tc>
        <w:tc>
          <w:tcPr>
            <w:tcW w:w="120" w:type="dxa"/>
            <w:vAlign w:val="bottom"/>
          </w:tcPr>
          <w:p>
            <w:pPr>
              <w:spacing w:after="0"/>
              <w:rPr>
                <w:sz w:val="11"/>
                <w:szCs w:val="11"/>
                <w:color w:val="auto"/>
              </w:rPr>
            </w:pPr>
          </w:p>
        </w:tc>
      </w:tr>
      <w:tr>
        <w:trPr>
          <w:trHeight w:val="134"/>
        </w:trPr>
        <w:tc>
          <w:tcPr>
            <w:tcW w:w="71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Americas</w:t>
            </w:r>
          </w:p>
        </w:tc>
        <w:tc>
          <w:tcPr>
            <w:tcW w:w="200" w:type="dxa"/>
            <w:vAlign w:val="bottom"/>
            <w:shd w:val="clear" w:color="auto" w:fill="CFF0FC"/>
          </w:tcPr>
          <w:p>
            <w:pPr>
              <w:jc w:val="right"/>
              <w:ind w:right="57"/>
              <w:spacing w:after="0" w:line="134" w:lineRule="exact"/>
              <w:rPr>
                <w:sz w:val="20"/>
                <w:szCs w:val="20"/>
                <w:color w:val="auto"/>
              </w:rPr>
            </w:pPr>
            <w:r>
              <w:rPr>
                <w:rFonts w:ascii="Arial" w:cs="Arial" w:eastAsia="Arial" w:hAnsi="Arial"/>
                <w:sz w:val="13"/>
                <w:szCs w:val="13"/>
                <w:color w:val="auto"/>
                <w:w w:val="82"/>
              </w:rPr>
              <w:t>$</w:t>
            </w:r>
          </w:p>
        </w:tc>
        <w:tc>
          <w:tcPr>
            <w:tcW w:w="164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4,732</w:t>
            </w:r>
          </w:p>
        </w:tc>
        <w:tc>
          <w:tcPr>
            <w:tcW w:w="480" w:type="dxa"/>
            <w:vAlign w:val="bottom"/>
            <w:gridSpan w:val="2"/>
            <w:shd w:val="clear" w:color="auto" w:fill="CFF0FC"/>
          </w:tcPr>
          <w:p>
            <w:pPr>
              <w:jc w:val="right"/>
              <w:ind w:right="57"/>
              <w:spacing w:after="0" w:line="134" w:lineRule="exact"/>
              <w:rPr>
                <w:sz w:val="20"/>
                <w:szCs w:val="20"/>
                <w:color w:val="auto"/>
              </w:rPr>
            </w:pPr>
            <w:r>
              <w:rPr>
                <w:rFonts w:ascii="Arial" w:cs="Arial" w:eastAsia="Arial" w:hAnsi="Arial"/>
                <w:sz w:val="13"/>
                <w:szCs w:val="13"/>
                <w:color w:val="auto"/>
              </w:rPr>
              <w:t>$</w:t>
            </w:r>
          </w:p>
        </w:tc>
        <w:tc>
          <w:tcPr>
            <w:tcW w:w="1760" w:type="dxa"/>
            <w:vAlign w:val="bottom"/>
            <w:gridSpan w:val="2"/>
            <w:shd w:val="clear" w:color="auto" w:fill="CFF0FC"/>
          </w:tcPr>
          <w:p>
            <w:pPr>
              <w:jc w:val="right"/>
              <w:ind w:right="80"/>
              <w:spacing w:after="0" w:line="134" w:lineRule="exact"/>
              <w:rPr>
                <w:sz w:val="20"/>
                <w:szCs w:val="20"/>
                <w:color w:val="auto"/>
              </w:rPr>
            </w:pPr>
            <w:r>
              <w:rPr>
                <w:rFonts w:ascii="Arial" w:cs="Arial" w:eastAsia="Arial" w:hAnsi="Arial"/>
                <w:sz w:val="13"/>
                <w:szCs w:val="13"/>
                <w:color w:val="auto"/>
              </w:rPr>
              <w:t>(1,712)</w:t>
            </w:r>
          </w:p>
        </w:tc>
      </w:tr>
      <w:tr>
        <w:trPr>
          <w:trHeight w:val="142"/>
        </w:trPr>
        <w:tc>
          <w:tcPr>
            <w:tcW w:w="7180" w:type="dxa"/>
            <w:vAlign w:val="bottom"/>
          </w:tcPr>
          <w:p>
            <w:pPr>
              <w:spacing w:after="0" w:line="142" w:lineRule="exact"/>
              <w:rPr>
                <w:sz w:val="20"/>
                <w:szCs w:val="20"/>
                <w:color w:val="auto"/>
              </w:rPr>
            </w:pPr>
            <w:r>
              <w:rPr>
                <w:rFonts w:ascii="Arial" w:cs="Arial" w:eastAsia="Arial" w:hAnsi="Arial"/>
                <w:sz w:val="13"/>
                <w:szCs w:val="13"/>
                <w:color w:val="auto"/>
              </w:rPr>
              <w:t>Brazil</w:t>
            </w:r>
          </w:p>
        </w:tc>
        <w:tc>
          <w:tcPr>
            <w:tcW w:w="200" w:type="dxa"/>
            <w:vAlign w:val="bottom"/>
          </w:tcPr>
          <w:p>
            <w:pPr>
              <w:spacing w:after="0"/>
              <w:rPr>
                <w:sz w:val="12"/>
                <w:szCs w:val="12"/>
                <w:color w:val="auto"/>
              </w:rPr>
            </w:pPr>
          </w:p>
        </w:tc>
        <w:tc>
          <w:tcPr>
            <w:tcW w:w="1640" w:type="dxa"/>
            <w:vAlign w:val="bottom"/>
          </w:tcPr>
          <w:p>
            <w:pPr>
              <w:jc w:val="right"/>
              <w:spacing w:after="0" w:line="142" w:lineRule="exact"/>
              <w:rPr>
                <w:sz w:val="20"/>
                <w:szCs w:val="20"/>
                <w:color w:val="auto"/>
              </w:rPr>
            </w:pPr>
            <w:r>
              <w:rPr>
                <w:rFonts w:ascii="Arial" w:cs="Arial" w:eastAsia="Arial" w:hAnsi="Arial"/>
                <w:sz w:val="13"/>
                <w:szCs w:val="13"/>
                <w:color w:val="auto"/>
              </w:rPr>
              <w:t>5,136</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jc w:val="right"/>
              <w:spacing w:after="0" w:line="142" w:lineRule="exact"/>
              <w:rPr>
                <w:sz w:val="20"/>
                <w:szCs w:val="20"/>
                <w:color w:val="auto"/>
              </w:rPr>
            </w:pPr>
            <w:r>
              <w:rPr>
                <w:rFonts w:ascii="Arial" w:cs="Arial" w:eastAsia="Arial" w:hAnsi="Arial"/>
                <w:sz w:val="13"/>
                <w:szCs w:val="13"/>
                <w:color w:val="auto"/>
              </w:rPr>
              <w:t>2,661</w:t>
            </w:r>
          </w:p>
        </w:tc>
        <w:tc>
          <w:tcPr>
            <w:tcW w:w="120" w:type="dxa"/>
            <w:vAlign w:val="bottom"/>
          </w:tcPr>
          <w:p>
            <w:pPr>
              <w:spacing w:after="0"/>
              <w:rPr>
                <w:sz w:val="12"/>
                <w:szCs w:val="12"/>
                <w:color w:val="auto"/>
              </w:rPr>
            </w:pPr>
          </w:p>
        </w:tc>
      </w:tr>
      <w:tr>
        <w:trPr>
          <w:trHeight w:val="142"/>
        </w:trPr>
        <w:tc>
          <w:tcPr>
            <w:tcW w:w="7180" w:type="dxa"/>
            <w:vAlign w:val="bottom"/>
            <w:tcBorders>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Asia</w:t>
            </w:r>
          </w:p>
        </w:tc>
        <w:tc>
          <w:tcPr>
            <w:tcW w:w="200" w:type="dxa"/>
            <w:vAlign w:val="bottom"/>
            <w:tcBorders>
              <w:bottom w:val="single" w:sz="8" w:color="auto"/>
            </w:tcBorders>
            <w:shd w:val="clear" w:color="auto" w:fill="CFF0FC"/>
          </w:tcPr>
          <w:p>
            <w:pPr>
              <w:spacing w:after="0"/>
              <w:rPr>
                <w:sz w:val="12"/>
                <w:szCs w:val="12"/>
                <w:color w:val="auto"/>
              </w:rPr>
            </w:pPr>
          </w:p>
        </w:tc>
        <w:tc>
          <w:tcPr>
            <w:tcW w:w="16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2,613</w:t>
            </w:r>
          </w:p>
        </w:tc>
        <w:tc>
          <w:tcPr>
            <w:tcW w:w="28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6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2,438</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34"/>
        </w:trPr>
        <w:tc>
          <w:tcPr>
            <w:tcW w:w="7180" w:type="dxa"/>
            <w:vAlign w:val="bottom"/>
          </w:tcPr>
          <w:p>
            <w:pPr>
              <w:spacing w:after="0" w:line="134" w:lineRule="exact"/>
              <w:rPr>
                <w:sz w:val="20"/>
                <w:szCs w:val="20"/>
                <w:color w:val="auto"/>
              </w:rPr>
            </w:pPr>
            <w:r>
              <w:rPr>
                <w:rFonts w:ascii="Arial" w:cs="Arial" w:eastAsia="Arial" w:hAnsi="Arial"/>
                <w:sz w:val="13"/>
                <w:szCs w:val="13"/>
                <w:color w:val="auto"/>
              </w:rPr>
              <w:t>Consolidated gross profit</w:t>
            </w:r>
          </w:p>
        </w:tc>
        <w:tc>
          <w:tcPr>
            <w:tcW w:w="200" w:type="dxa"/>
            <w:vAlign w:val="bottom"/>
            <w:tcBorders>
              <w:bottom w:val="single" w:sz="8" w:color="auto"/>
            </w:tcBorders>
          </w:tcPr>
          <w:p>
            <w:pPr>
              <w:jc w:val="right"/>
              <w:ind w:right="57"/>
              <w:spacing w:after="0" w:line="122" w:lineRule="exact"/>
              <w:rPr>
                <w:sz w:val="20"/>
                <w:szCs w:val="20"/>
                <w:color w:val="auto"/>
              </w:rPr>
            </w:pPr>
            <w:r>
              <w:rPr>
                <w:rFonts w:ascii="Arial" w:cs="Arial" w:eastAsia="Arial" w:hAnsi="Arial"/>
                <w:sz w:val="13"/>
                <w:szCs w:val="13"/>
                <w:color w:val="auto"/>
                <w:w w:val="82"/>
              </w:rPr>
              <w:t>$</w:t>
            </w:r>
          </w:p>
        </w:tc>
        <w:tc>
          <w:tcPr>
            <w:tcW w:w="16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12,481</w:t>
            </w:r>
          </w:p>
        </w:tc>
        <w:tc>
          <w:tcPr>
            <w:tcW w:w="280" w:type="dxa"/>
            <w:vAlign w:val="bottom"/>
          </w:tcPr>
          <w:p>
            <w:pPr>
              <w:spacing w:after="0"/>
              <w:rPr>
                <w:sz w:val="11"/>
                <w:szCs w:val="11"/>
                <w:color w:val="auto"/>
              </w:rPr>
            </w:pPr>
          </w:p>
        </w:tc>
        <w:tc>
          <w:tcPr>
            <w:tcW w:w="200" w:type="dxa"/>
            <w:vAlign w:val="bottom"/>
            <w:tcBorders>
              <w:bottom w:val="single" w:sz="8" w:color="auto"/>
            </w:tcBorders>
          </w:tcPr>
          <w:p>
            <w:pPr>
              <w:jc w:val="right"/>
              <w:ind w:right="57"/>
              <w:spacing w:after="0" w:line="122" w:lineRule="exact"/>
              <w:rPr>
                <w:sz w:val="20"/>
                <w:szCs w:val="20"/>
                <w:color w:val="auto"/>
              </w:rPr>
            </w:pPr>
            <w:r>
              <w:rPr>
                <w:rFonts w:ascii="Arial" w:cs="Arial" w:eastAsia="Arial" w:hAnsi="Arial"/>
                <w:sz w:val="13"/>
                <w:szCs w:val="13"/>
                <w:color w:val="auto"/>
                <w:w w:val="82"/>
              </w:rPr>
              <w:t>$</w:t>
            </w:r>
          </w:p>
        </w:tc>
        <w:tc>
          <w:tcPr>
            <w:tcW w:w="16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3,387</w:t>
            </w:r>
          </w:p>
        </w:tc>
        <w:tc>
          <w:tcPr>
            <w:tcW w:w="120" w:type="dxa"/>
            <w:vAlign w:val="bottom"/>
          </w:tcPr>
          <w:p>
            <w:pPr>
              <w:spacing w:after="0"/>
              <w:rPr>
                <w:sz w:val="11"/>
                <w:szCs w:val="11"/>
                <w:color w:val="auto"/>
              </w:rPr>
            </w:pPr>
          </w:p>
        </w:tc>
      </w:tr>
      <w:tr>
        <w:trPr>
          <w:trHeight w:val="20"/>
        </w:trPr>
        <w:tc>
          <w:tcPr>
            <w:tcW w:w="7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5730240</wp:posOffset>
            </wp:positionH>
            <wp:positionV relativeFrom="paragraph">
              <wp:posOffset>-119380</wp:posOffset>
            </wp:positionV>
            <wp:extent cx="6731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-119380</wp:posOffset>
            </wp:positionV>
            <wp:extent cx="6731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232" w:lineRule="exact"/>
        <w:rPr>
          <w:sz w:val="20"/>
          <w:szCs w:val="20"/>
          <w:color w:val="auto"/>
        </w:rPr>
      </w:pPr>
    </w:p>
    <w:p>
      <w:pPr>
        <w:jc w:val="center"/>
        <w:ind w:right="-4"/>
        <w:spacing w:after="0"/>
        <w:rPr>
          <w:sz w:val="20"/>
          <w:szCs w:val="20"/>
          <w:color w:val="auto"/>
        </w:rPr>
      </w:pPr>
      <w:r>
        <w:rPr>
          <w:rFonts w:ascii="Arial" w:cs="Arial" w:eastAsia="Arial" w:hAnsi="Arial"/>
          <w:sz w:val="13"/>
          <w:szCs w:val="13"/>
          <w:b w:val="1"/>
          <w:bCs w:val="1"/>
          <w:color w:val="auto"/>
        </w:rPr>
        <w:t>RECONCILIATIONS OF REPORTED RESULTS TO ADJUSTED RESULTS</w:t>
      </w:r>
    </w:p>
    <w:p>
      <w:pPr>
        <w:jc w:val="center"/>
        <w:ind w:right="-4"/>
        <w:spacing w:after="0" w:line="234" w:lineRule="auto"/>
        <w:rPr>
          <w:sz w:val="20"/>
          <w:szCs w:val="20"/>
          <w:color w:val="auto"/>
        </w:rPr>
      </w:pPr>
      <w:r>
        <w:rPr>
          <w:rFonts w:ascii="Arial" w:cs="Arial" w:eastAsia="Arial" w:hAnsi="Arial"/>
          <w:sz w:val="13"/>
          <w:szCs w:val="13"/>
          <w:b w:val="1"/>
          <w:bCs w:val="1"/>
          <w:color w:val="auto"/>
        </w:rPr>
        <w:t>(Unaudited)</w:t>
      </w:r>
    </w:p>
    <w:p>
      <w:pPr>
        <w:spacing w:after="0" w:line="1" w:lineRule="exact"/>
        <w:rPr>
          <w:sz w:val="20"/>
          <w:szCs w:val="20"/>
          <w:color w:val="auto"/>
        </w:rPr>
      </w:pPr>
    </w:p>
    <w:p>
      <w:pPr>
        <w:jc w:val="center"/>
        <w:ind w:right="-4"/>
        <w:spacing w:after="0"/>
        <w:rPr>
          <w:sz w:val="20"/>
          <w:szCs w:val="20"/>
          <w:color w:val="auto"/>
        </w:rPr>
      </w:pPr>
      <w:r>
        <w:rPr>
          <w:rFonts w:ascii="Arial" w:cs="Arial" w:eastAsia="Arial" w:hAnsi="Arial"/>
          <w:sz w:val="13"/>
          <w:szCs w:val="13"/>
          <w:b w:val="1"/>
          <w:bCs w:val="1"/>
          <w:color w:val="auto"/>
        </w:rPr>
        <w:t>(In thousands)</w:t>
      </w:r>
    </w:p>
    <w:p>
      <w:pPr>
        <w:spacing w:after="0" w:line="124" w:lineRule="exact"/>
        <w:rPr>
          <w:sz w:val="20"/>
          <w:szCs w:val="20"/>
          <w:color w:val="auto"/>
        </w:rPr>
      </w:pPr>
    </w:p>
    <w:p>
      <w:pPr>
        <w:ind w:left="5"/>
        <w:spacing w:after="0"/>
        <w:rPr>
          <w:sz w:val="20"/>
          <w:szCs w:val="20"/>
          <w:color w:val="auto"/>
        </w:rPr>
      </w:pPr>
      <w:r>
        <w:rPr>
          <w:rFonts w:ascii="Arial" w:cs="Arial" w:eastAsia="Arial" w:hAnsi="Arial"/>
          <w:sz w:val="13"/>
          <w:szCs w:val="13"/>
          <w:i w:val="1"/>
          <w:iCs w:val="1"/>
          <w:u w:val="single" w:color="auto"/>
          <w:color w:val="auto"/>
        </w:rPr>
        <w:t>EBITDA and Adjusted EBITDA (Non-GAAP Financial Measures)</w:t>
      </w:r>
    </w:p>
    <w:p>
      <w:pPr>
        <w:spacing w:after="0" w:line="85" w:lineRule="exact"/>
        <w:rPr>
          <w:sz w:val="20"/>
          <w:szCs w:val="20"/>
          <w:color w:val="auto"/>
        </w:rPr>
      </w:pPr>
    </w:p>
    <w:p>
      <w:pPr>
        <w:ind w:left="5"/>
        <w:spacing w:after="0"/>
        <w:rPr>
          <w:sz w:val="20"/>
          <w:szCs w:val="20"/>
          <w:color w:val="auto"/>
        </w:rPr>
      </w:pPr>
      <w:r>
        <w:rPr>
          <w:rFonts w:ascii="Arial" w:cs="Arial" w:eastAsia="Arial" w:hAnsi="Arial"/>
          <w:sz w:val="13"/>
          <w:szCs w:val="13"/>
          <w:color w:val="auto"/>
        </w:rPr>
        <w:t>The reconciliations of the amounts reported under U.S. generally accepted accounting principles (“GAAP”) for Net loss to EBITDA and Adjusted EBITDA are set forth below.</w:t>
      </w:r>
    </w:p>
    <w:p>
      <w:pPr>
        <w:spacing w:after="0" w:line="134" w:lineRule="exact"/>
        <w:rPr>
          <w:sz w:val="20"/>
          <w:szCs w:val="20"/>
          <w:color w:val="auto"/>
        </w:rPr>
      </w:pPr>
    </w:p>
    <w:tbl>
      <w:tblPr>
        <w:tblLayout w:type="fixed"/>
        <w:tblInd w:w="5"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7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80" w:type="dxa"/>
            <w:vAlign w:val="bottom"/>
            <w:gridSpan w:val="6"/>
          </w:tcPr>
          <w:p>
            <w:pPr>
              <w:jc w:val="right"/>
              <w:ind w:right="1240"/>
              <w:spacing w:after="0"/>
              <w:rPr>
                <w:sz w:val="20"/>
                <w:szCs w:val="20"/>
                <w:color w:val="auto"/>
              </w:rPr>
            </w:pPr>
            <w:r>
              <w:rPr>
                <w:rFonts w:ascii="Arial" w:cs="Arial" w:eastAsia="Arial" w:hAnsi="Arial"/>
                <w:sz w:val="13"/>
                <w:szCs w:val="13"/>
                <w:b w:val="1"/>
                <w:bCs w:val="1"/>
                <w:color w:val="auto"/>
              </w:rPr>
              <w:t>For the Three Months Ended</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640" w:type="dxa"/>
            <w:vAlign w:val="bottom"/>
            <w:tcBorders>
              <w:top w:val="single" w:sz="8" w:color="auto"/>
              <w:bottom w:val="single" w:sz="8" w:color="auto"/>
            </w:tcBorders>
          </w:tcPr>
          <w:p>
            <w:pPr>
              <w:jc w:val="right"/>
              <w:ind w:right="277"/>
              <w:spacing w:after="0" w:line="134" w:lineRule="exact"/>
              <w:rPr>
                <w:sz w:val="20"/>
                <w:szCs w:val="20"/>
                <w:color w:val="auto"/>
              </w:rPr>
            </w:pPr>
            <w:r>
              <w:rPr>
                <w:rFonts w:ascii="Arial" w:cs="Arial" w:eastAsia="Arial" w:hAnsi="Arial"/>
                <w:sz w:val="13"/>
                <w:szCs w:val="13"/>
                <w:b w:val="1"/>
                <w:bCs w:val="1"/>
                <w:color w:val="auto"/>
              </w:rPr>
              <w:t>September 27, 2026</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640" w:type="dxa"/>
            <w:vAlign w:val="bottom"/>
            <w:tcBorders>
              <w:top w:val="single" w:sz="8" w:color="auto"/>
              <w:bottom w:val="single" w:sz="8" w:color="auto"/>
            </w:tcBorders>
          </w:tcPr>
          <w:p>
            <w:pPr>
              <w:jc w:val="right"/>
              <w:ind w:right="277"/>
              <w:spacing w:after="0" w:line="134" w:lineRule="exact"/>
              <w:rPr>
                <w:sz w:val="20"/>
                <w:szCs w:val="20"/>
                <w:color w:val="auto"/>
              </w:rPr>
            </w:pPr>
            <w:r>
              <w:rPr>
                <w:rFonts w:ascii="Arial" w:cs="Arial" w:eastAsia="Arial" w:hAnsi="Arial"/>
                <w:sz w:val="13"/>
                <w:szCs w:val="13"/>
                <w:b w:val="1"/>
                <w:bCs w:val="1"/>
                <w:color w:val="auto"/>
              </w:rPr>
              <w:t>September 28, 2025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1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Net loss</w:t>
            </w:r>
          </w:p>
        </w:tc>
        <w:tc>
          <w:tcPr>
            <w:tcW w:w="200" w:type="dxa"/>
            <w:vAlign w:val="bottom"/>
            <w:gridSpan w:val="2"/>
            <w:shd w:val="clear" w:color="auto" w:fill="CFF0FC"/>
          </w:tcPr>
          <w:p>
            <w:pPr>
              <w:jc w:val="right"/>
              <w:ind w:right="73"/>
              <w:spacing w:after="0" w:line="134" w:lineRule="exact"/>
              <w:rPr>
                <w:sz w:val="20"/>
                <w:szCs w:val="20"/>
                <w:color w:val="auto"/>
              </w:rPr>
            </w:pPr>
            <w:r>
              <w:rPr>
                <w:rFonts w:ascii="Arial" w:cs="Arial" w:eastAsia="Arial" w:hAnsi="Arial"/>
                <w:sz w:val="13"/>
                <w:szCs w:val="13"/>
                <w:color w:val="auto"/>
                <w:w w:val="82"/>
              </w:rPr>
              <w:t>$</w:t>
            </w:r>
          </w:p>
        </w:tc>
        <w:tc>
          <w:tcPr>
            <w:tcW w:w="1800" w:type="dxa"/>
            <w:vAlign w:val="bottom"/>
            <w:gridSpan w:val="2"/>
            <w:shd w:val="clear" w:color="auto" w:fill="CFF0FC"/>
          </w:tcPr>
          <w:p>
            <w:pPr>
              <w:jc w:val="right"/>
              <w:ind w:right="120"/>
              <w:spacing w:after="0" w:line="134" w:lineRule="exact"/>
              <w:rPr>
                <w:sz w:val="20"/>
                <w:szCs w:val="20"/>
                <w:color w:val="auto"/>
              </w:rPr>
            </w:pPr>
            <w:r>
              <w:rPr>
                <w:rFonts w:ascii="Arial" w:cs="Arial" w:eastAsia="Arial" w:hAnsi="Arial"/>
                <w:sz w:val="13"/>
                <w:szCs w:val="13"/>
                <w:color w:val="auto"/>
              </w:rPr>
              <w:t>(2,020)</w:t>
            </w:r>
          </w:p>
        </w:tc>
        <w:tc>
          <w:tcPr>
            <w:tcW w:w="320" w:type="dxa"/>
            <w:vAlign w:val="bottom"/>
            <w:gridSpan w:val="2"/>
            <w:shd w:val="clear" w:color="auto" w:fill="CFF0FC"/>
          </w:tcPr>
          <w:p>
            <w:pPr>
              <w:jc w:val="right"/>
              <w:ind w:right="57"/>
              <w:spacing w:after="0" w:line="134" w:lineRule="exact"/>
              <w:rPr>
                <w:sz w:val="20"/>
                <w:szCs w:val="20"/>
                <w:color w:val="auto"/>
              </w:rPr>
            </w:pPr>
            <w:r>
              <w:rPr>
                <w:rFonts w:ascii="Arial" w:cs="Arial" w:eastAsia="Arial" w:hAnsi="Arial"/>
                <w:sz w:val="13"/>
                <w:szCs w:val="13"/>
                <w:color w:val="auto"/>
              </w:rPr>
              <w:t>$</w:t>
            </w:r>
          </w:p>
        </w:tc>
        <w:tc>
          <w:tcPr>
            <w:tcW w:w="1760" w:type="dxa"/>
            <w:vAlign w:val="bottom"/>
            <w:gridSpan w:val="2"/>
            <w:shd w:val="clear" w:color="auto" w:fill="CFF0FC"/>
          </w:tcPr>
          <w:p>
            <w:pPr>
              <w:jc w:val="right"/>
              <w:ind w:right="80"/>
              <w:spacing w:after="0" w:line="134" w:lineRule="exact"/>
              <w:rPr>
                <w:sz w:val="20"/>
                <w:szCs w:val="20"/>
                <w:color w:val="auto"/>
              </w:rPr>
            </w:pPr>
            <w:r>
              <w:rPr>
                <w:rFonts w:ascii="Arial" w:cs="Arial" w:eastAsia="Arial" w:hAnsi="Arial"/>
                <w:sz w:val="13"/>
                <w:szCs w:val="13"/>
                <w:color w:val="auto"/>
              </w:rPr>
              <w:t>(11,357)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60" w:type="dxa"/>
            <w:vAlign w:val="bottom"/>
          </w:tcPr>
          <w:p>
            <w:pPr>
              <w:spacing w:after="0" w:line="142" w:lineRule="exact"/>
              <w:rPr>
                <w:sz w:val="20"/>
                <w:szCs w:val="20"/>
                <w:color w:val="auto"/>
              </w:rPr>
            </w:pPr>
            <w:r>
              <w:rPr>
                <w:rFonts w:ascii="Arial" w:cs="Arial" w:eastAsia="Arial" w:hAnsi="Arial"/>
                <w:sz w:val="13"/>
                <w:szCs w:val="13"/>
                <w:color w:val="auto"/>
              </w:rPr>
              <w:t>Interest expense, net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jc w:val="right"/>
              <w:spacing w:after="0" w:line="142" w:lineRule="exact"/>
              <w:rPr>
                <w:sz w:val="20"/>
                <w:szCs w:val="20"/>
                <w:color w:val="auto"/>
              </w:rPr>
            </w:pPr>
            <w:r>
              <w:rPr>
                <w:rFonts w:ascii="Arial" w:cs="Arial" w:eastAsia="Arial" w:hAnsi="Arial"/>
                <w:sz w:val="13"/>
                <w:szCs w:val="13"/>
                <w:color w:val="auto"/>
              </w:rPr>
              <w:t>979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jc w:val="right"/>
              <w:spacing w:after="0" w:line="142" w:lineRule="exact"/>
              <w:rPr>
                <w:sz w:val="20"/>
                <w:szCs w:val="20"/>
                <w:color w:val="auto"/>
              </w:rPr>
            </w:pPr>
            <w:r>
              <w:rPr>
                <w:rFonts w:ascii="Arial" w:cs="Arial" w:eastAsia="Arial" w:hAnsi="Arial"/>
                <w:sz w:val="13"/>
                <w:szCs w:val="13"/>
                <w:color w:val="auto"/>
              </w:rPr>
              <w:t>1,628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6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Provision for income taxes</w:t>
            </w: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1,037</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196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160" w:type="dxa"/>
            <w:vAlign w:val="bottom"/>
          </w:tcPr>
          <w:p>
            <w:pPr>
              <w:spacing w:after="0" w:line="154" w:lineRule="exact"/>
              <w:rPr>
                <w:sz w:val="20"/>
                <w:szCs w:val="20"/>
                <w:color w:val="auto"/>
              </w:rPr>
            </w:pPr>
            <w:r>
              <w:rPr>
                <w:rFonts w:ascii="Arial" w:cs="Arial" w:eastAsia="Arial" w:hAnsi="Arial"/>
                <w:sz w:val="13"/>
                <w:szCs w:val="13"/>
                <w:color w:val="auto"/>
              </w:rPr>
              <w:t xml:space="preserve">Depreciation and amortization expense </w:t>
            </w:r>
            <w:r>
              <w:rPr>
                <w:rFonts w:ascii="Arial" w:cs="Arial" w:eastAsia="Arial" w:hAnsi="Arial"/>
                <w:sz w:val="16"/>
                <w:szCs w:val="16"/>
                <w:color w:val="auto"/>
                <w:vertAlign w:val="superscript"/>
              </w:rPr>
              <w:t>(1)</w:t>
            </w:r>
          </w:p>
        </w:tc>
        <w:tc>
          <w:tcPr>
            <w:tcW w:w="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5,703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1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EBITDA</w:t>
            </w: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4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5,699</w:t>
            </w: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760" w:type="dxa"/>
            <w:vAlign w:val="bottom"/>
            <w:gridSpan w:val="2"/>
            <w:shd w:val="clear" w:color="auto" w:fill="CFF0FC"/>
          </w:tcPr>
          <w:p>
            <w:pPr>
              <w:jc w:val="right"/>
              <w:ind w:right="80"/>
              <w:spacing w:after="0" w:line="134" w:lineRule="exact"/>
              <w:rPr>
                <w:sz w:val="20"/>
                <w:szCs w:val="20"/>
                <w:color w:val="auto"/>
              </w:rPr>
            </w:pPr>
            <w:r>
              <w:rPr>
                <w:rFonts w:ascii="Arial" w:cs="Arial" w:eastAsia="Arial" w:hAnsi="Arial"/>
                <w:sz w:val="13"/>
                <w:szCs w:val="13"/>
                <w:color w:val="auto"/>
              </w:rPr>
              <w:t>(3,612)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7160" w:type="dxa"/>
            <w:vAlign w:val="bottom"/>
            <w:shd w:val="clear" w:color="auto" w:fill="CFF0FC"/>
          </w:tcPr>
          <w:p>
            <w:pPr>
              <w:spacing w:after="0" w:line="165" w:lineRule="exact"/>
              <w:rPr>
                <w:sz w:val="20"/>
                <w:szCs w:val="20"/>
                <w:color w:val="auto"/>
              </w:rPr>
            </w:pPr>
            <w:r>
              <w:rPr>
                <w:rFonts w:ascii="Arial" w:cs="Arial" w:eastAsia="Arial" w:hAnsi="Arial"/>
                <w:sz w:val="13"/>
                <w:szCs w:val="13"/>
                <w:color w:val="auto"/>
              </w:rPr>
              <w:t xml:space="preserve">Loss on foreign currency transaction, net </w:t>
            </w:r>
            <w:r>
              <w:rPr>
                <w:rFonts w:ascii="Arial" w:cs="Arial" w:eastAsia="Arial" w:hAnsi="Arial"/>
                <w:sz w:val="16"/>
                <w:szCs w:val="16"/>
                <w:color w:val="auto"/>
                <w:vertAlign w:val="superscript"/>
              </w:rPr>
              <w:t>(2)</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7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160" w:type="dxa"/>
            <w:vAlign w:val="bottom"/>
          </w:tcPr>
          <w:p>
            <w:pPr>
              <w:spacing w:after="0" w:line="165" w:lineRule="exact"/>
              <w:rPr>
                <w:sz w:val="20"/>
                <w:szCs w:val="20"/>
                <w:color w:val="auto"/>
              </w:rPr>
            </w:pPr>
            <w:r>
              <w:rPr>
                <w:rFonts w:ascii="Arial" w:cs="Arial" w:eastAsia="Arial" w:hAnsi="Arial"/>
                <w:sz w:val="13"/>
                <w:szCs w:val="13"/>
                <w:color w:val="auto"/>
              </w:rPr>
              <w:t xml:space="preserve">Transition costs </w:t>
            </w:r>
            <w:r>
              <w:rPr>
                <w:rFonts w:ascii="Arial" w:cs="Arial" w:eastAsia="Arial" w:hAnsi="Arial"/>
                <w:sz w:val="16"/>
                <w:szCs w:val="16"/>
                <w:color w:val="auto"/>
                <w:vertAlign w:val="superscript"/>
              </w:rPr>
              <w:t>(3)</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265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160" w:type="dxa"/>
            <w:vAlign w:val="bottom"/>
            <w:shd w:val="clear" w:color="auto" w:fill="CFF0FC"/>
          </w:tcPr>
          <w:p>
            <w:pPr>
              <w:spacing w:after="0" w:line="165" w:lineRule="exact"/>
              <w:rPr>
                <w:sz w:val="20"/>
                <w:szCs w:val="20"/>
                <w:color w:val="auto"/>
              </w:rPr>
            </w:pPr>
            <w:r>
              <w:rPr>
                <w:rFonts w:ascii="Arial" w:cs="Arial" w:eastAsia="Arial" w:hAnsi="Arial"/>
                <w:sz w:val="13"/>
                <w:szCs w:val="13"/>
                <w:color w:val="auto"/>
              </w:rPr>
              <w:t xml:space="preserve">Restructuring costs, net </w:t>
            </w:r>
            <w:r>
              <w:rPr>
                <w:rFonts w:ascii="Arial" w:cs="Arial" w:eastAsia="Arial" w:hAnsi="Arial"/>
                <w:sz w:val="16"/>
                <w:szCs w:val="16"/>
                <w:color w:val="auto"/>
                <w:vertAlign w:val="superscript"/>
              </w:rPr>
              <w:t>(4)</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1,068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180" w:type="dxa"/>
            <w:vAlign w:val="bottom"/>
            <w:gridSpan w:val="2"/>
          </w:tcPr>
          <w:p>
            <w:pPr>
              <w:spacing w:after="0" w:line="134" w:lineRule="exact"/>
              <w:rPr>
                <w:sz w:val="20"/>
                <w:szCs w:val="20"/>
                <w:color w:val="auto"/>
              </w:rPr>
            </w:pPr>
            <w:r>
              <w:rPr>
                <w:rFonts w:ascii="Arial" w:cs="Arial" w:eastAsia="Arial" w:hAnsi="Arial"/>
                <w:sz w:val="13"/>
                <w:szCs w:val="13"/>
                <w:color w:val="auto"/>
              </w:rPr>
              <w:t>Adjusted EBITDA</w:t>
            </w:r>
          </w:p>
        </w:tc>
        <w:tc>
          <w:tcPr>
            <w:tcW w:w="20" w:type="dxa"/>
            <w:vAlign w:val="bottom"/>
            <w:tcBorders>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9"/>
                <w:szCs w:val="9"/>
                <w:color w:val="auto"/>
                <w:w w:val="78"/>
              </w:rPr>
              <w:t>$</w:t>
            </w:r>
          </w:p>
        </w:tc>
        <w:tc>
          <w:tcPr>
            <w:tcW w:w="164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6,055</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bottom w:val="single" w:sz="8" w:color="auto"/>
            </w:tcBorders>
          </w:tcPr>
          <w:p>
            <w:pPr>
              <w:jc w:val="right"/>
              <w:ind w:right="57"/>
              <w:spacing w:after="0" w:line="122" w:lineRule="exact"/>
              <w:rPr>
                <w:sz w:val="20"/>
                <w:szCs w:val="20"/>
                <w:color w:val="auto"/>
              </w:rPr>
            </w:pPr>
            <w:r>
              <w:rPr>
                <w:rFonts w:ascii="Arial" w:cs="Arial" w:eastAsia="Arial" w:hAnsi="Arial"/>
                <w:sz w:val="13"/>
                <w:szCs w:val="13"/>
                <w:color w:val="auto"/>
                <w:w w:val="82"/>
              </w:rPr>
              <w:t>$</w:t>
            </w:r>
          </w:p>
        </w:tc>
        <w:tc>
          <w:tcPr>
            <w:tcW w:w="164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(2,544)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365" w:right="20" w:hanging="365"/>
        <w:spacing w:after="0" w:line="254" w:lineRule="auto"/>
        <w:tabs>
          <w:tab w:leader="none" w:pos="365" w:val="left"/>
        </w:tabs>
        <w:numPr>
          <w:ilvl w:val="0"/>
          <w:numId w:val="13"/>
        </w:numPr>
        <w:rPr>
          <w:rFonts w:ascii="Arial" w:cs="Arial" w:eastAsia="Arial" w:hAnsi="Arial"/>
          <w:sz w:val="13"/>
          <w:szCs w:val="13"/>
          <w:color w:val="auto"/>
        </w:rPr>
      </w:pPr>
      <w:r>
        <w:rPr>
          <w:rFonts w:ascii="Arial" w:cs="Arial" w:eastAsia="Arial" w:hAnsi="Arial"/>
          <w:sz w:val="13"/>
          <w:szCs w:val="13"/>
          <w:color w:val="auto"/>
        </w:rPr>
        <w:t>Within this reconciliation, depreciation and amortization expense excludes the amortization of debt issuance costs, which are reflected in interest expense, net. However, within the accompanying Condensed Consolidated Statements of Cash Flows, amortization of debt issuance costs is reflected in depreciation and amortization expense.</w:t>
      </w:r>
    </w:p>
    <w:p>
      <w:pPr>
        <w:spacing w:after="0" w:line="62" w:lineRule="exact"/>
        <w:rPr>
          <w:rFonts w:ascii="Arial" w:cs="Arial" w:eastAsia="Arial" w:hAnsi="Arial"/>
          <w:sz w:val="13"/>
          <w:szCs w:val="13"/>
          <w:color w:val="auto"/>
        </w:rPr>
      </w:pPr>
    </w:p>
    <w:p>
      <w:pPr>
        <w:jc w:val="both"/>
        <w:ind w:left="365" w:hanging="365"/>
        <w:spacing w:after="0" w:line="241" w:lineRule="auto"/>
        <w:tabs>
          <w:tab w:leader="none" w:pos="365"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 the first quarter of fiscal 2027, UNIFI recorded a foreign currency loss of $91. In December 2025, Brazil declared dividends against the majority of its retained earnings in connection with certain tax law changes related to future dividends. Foreign currency transaction gains (losses) are recorded to reflect changes in the exchange rate of the Brazilian Real to the U.S. Dollar while the dividend payable is outstanding.</w:t>
      </w:r>
    </w:p>
    <w:p>
      <w:pPr>
        <w:spacing w:after="0" w:line="70" w:lineRule="exact"/>
        <w:rPr>
          <w:rFonts w:ascii="Arial" w:cs="Arial" w:eastAsia="Arial" w:hAnsi="Arial"/>
          <w:sz w:val="13"/>
          <w:szCs w:val="13"/>
          <w:color w:val="auto"/>
        </w:rPr>
      </w:pPr>
    </w:p>
    <w:p>
      <w:pPr>
        <w:ind w:left="365" w:right="20" w:hanging="365"/>
        <w:spacing w:after="0" w:line="254" w:lineRule="auto"/>
        <w:tabs>
          <w:tab w:leader="none" w:pos="365"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 the first quarter of fiscal 2027, UNIFI recorded various transition costs totaling $265 within Other operating expense, net in connection with the purchase agreement entered into on August 16, 2026 for the sale of two non-strategic real estate assets in Yadkinville, North Carolina.</w:t>
      </w:r>
    </w:p>
    <w:p>
      <w:pPr>
        <w:spacing w:after="0" w:line="62" w:lineRule="exact"/>
        <w:rPr>
          <w:rFonts w:ascii="Arial" w:cs="Arial" w:eastAsia="Arial" w:hAnsi="Arial"/>
          <w:sz w:val="13"/>
          <w:szCs w:val="13"/>
          <w:color w:val="auto"/>
        </w:rPr>
      </w:pPr>
    </w:p>
    <w:p>
      <w:pPr>
        <w:jc w:val="both"/>
        <w:ind w:left="365" w:hanging="365"/>
        <w:spacing w:after="0" w:line="241" w:lineRule="auto"/>
        <w:tabs>
          <w:tab w:leader="none" w:pos="365"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 the first quarter of fiscal 2026, UNIFI incurred restructuring costs totaling $1,068 in connection with the consolidation of its yarn manufacturing operations including (i) facility closure and equipment relocation costs (including asset impairments and disposals) of $1,021, and (ii) employee separation costs of $47. The facility closure, equipment relocation, and employee separation costs were all recorded within Restructuring costs in the 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982980</wp:posOffset>
            </wp:positionV>
            <wp:extent cx="717486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440" w:right="319" w:bottom="1440" w:gutter="0" w:footer="0" w:header="0"/>
        </w:sectPr>
      </w:pPr>
    </w:p>
    <w:bookmarkStart w:id="13" w:name="page14"/>
    <w:bookmarkEnd w:id="13"/>
    <w:p>
      <w:pPr>
        <w:spacing w:after="0" w:line="3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1081405" cy="4057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1081405" cy="405765"/>
                    </a:xfrm>
                    <a:prstGeom prst="rect">
                      <a:avLst/>
                    </a:prstGeom>
                    <a:noFill/>
                  </pic:spPr>
                </pic:pic>
              </a:graphicData>
            </a:graphic>
          </wp:anchor>
        </w:drawing>
      </w:r>
    </w:p>
    <w:p>
      <w:pPr>
        <w:ind w:left="5"/>
        <w:spacing w:after="0"/>
        <w:rPr>
          <w:sz w:val="20"/>
          <w:szCs w:val="20"/>
          <w:color w:val="auto"/>
        </w:rPr>
      </w:pPr>
      <w:r>
        <w:rPr>
          <w:rFonts w:ascii="Arial" w:cs="Arial" w:eastAsia="Arial" w:hAnsi="Arial"/>
          <w:sz w:val="13"/>
          <w:szCs w:val="13"/>
          <w:i w:val="1"/>
          <w:iCs w:val="1"/>
          <w:u w:val="single" w:color="auto"/>
          <w:color w:val="auto"/>
        </w:rPr>
        <w:t>Adjusted Net Loss and Adjusted EPS (Non-GAAP Financial Measures)</w:t>
      </w:r>
    </w:p>
    <w:p>
      <w:pPr>
        <w:spacing w:after="0" w:line="85" w:lineRule="exact"/>
        <w:rPr>
          <w:sz w:val="20"/>
          <w:szCs w:val="20"/>
          <w:color w:val="auto"/>
        </w:rPr>
      </w:pPr>
    </w:p>
    <w:p>
      <w:pPr>
        <w:ind w:left="5" w:right="20"/>
        <w:spacing w:after="0" w:line="254" w:lineRule="auto"/>
        <w:rPr>
          <w:sz w:val="20"/>
          <w:szCs w:val="20"/>
          <w:color w:val="auto"/>
        </w:rPr>
      </w:pPr>
      <w:r>
        <w:rPr>
          <w:rFonts w:ascii="Arial" w:cs="Arial" w:eastAsia="Arial" w:hAnsi="Arial"/>
          <w:sz w:val="13"/>
          <w:szCs w:val="13"/>
          <w:color w:val="auto"/>
        </w:rPr>
        <w:t>The tables below set forth reconciliations of (i) Loss before income taxes (“Pre-tax Loss”), (ii) Provision for income taxes (“Tax Impact”), (iii) Net loss (“Net Loss”) to Adjusted Net Loss, and (iv) Diluted Earnings Per Share (“Diluted EPS”) to Adjusted EPS. Rounding may impact certain of the below calculations.</w:t>
      </w:r>
    </w:p>
    <w:p>
      <w:pPr>
        <w:spacing w:after="0" w:line="109" w:lineRule="exact"/>
        <w:rPr>
          <w:sz w:val="20"/>
          <w:szCs w:val="20"/>
          <w:color w:val="auto"/>
        </w:rPr>
      </w:pPr>
    </w:p>
    <w:tbl>
      <w:tblPr>
        <w:tblLayout w:type="fixed"/>
        <w:tblInd w:w="5"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20" w:type="dxa"/>
            <w:vAlign w:val="bottom"/>
            <w:gridSpan w:val="11"/>
          </w:tcPr>
          <w:p>
            <w:pPr>
              <w:ind w:left="240"/>
              <w:spacing w:after="0"/>
              <w:rPr>
                <w:sz w:val="20"/>
                <w:szCs w:val="20"/>
                <w:color w:val="auto"/>
              </w:rPr>
            </w:pPr>
            <w:r>
              <w:rPr>
                <w:rFonts w:ascii="Arial" w:cs="Arial" w:eastAsia="Arial" w:hAnsi="Arial"/>
                <w:sz w:val="13"/>
                <w:szCs w:val="13"/>
                <w:b w:val="1"/>
                <w:bCs w:val="1"/>
                <w:color w:val="auto"/>
              </w:rPr>
              <w:t>For the Three Months Ended September 27, 2026</w:t>
            </w:r>
          </w:p>
        </w:tc>
        <w:tc>
          <w:tcPr>
            <w:tcW w:w="100" w:type="dxa"/>
            <w:vAlign w:val="bottom"/>
          </w:tcPr>
          <w:p>
            <w:pPr>
              <w:spacing w:after="0"/>
              <w:rPr>
                <w:sz w:val="13"/>
                <w:szCs w:val="13"/>
                <w:color w:val="auto"/>
              </w:rPr>
            </w:pPr>
          </w:p>
        </w:tc>
        <w:tc>
          <w:tcPr>
            <w:tcW w:w="3500" w:type="dxa"/>
            <w:vAlign w:val="bottom"/>
            <w:gridSpan w:val="11"/>
          </w:tcPr>
          <w:p>
            <w:pPr>
              <w:ind w:left="180"/>
              <w:spacing w:after="0"/>
              <w:rPr>
                <w:sz w:val="20"/>
                <w:szCs w:val="20"/>
                <w:color w:val="auto"/>
              </w:rPr>
            </w:pPr>
            <w:r>
              <w:rPr>
                <w:rFonts w:ascii="Arial" w:cs="Arial" w:eastAsia="Arial" w:hAnsi="Arial"/>
                <w:sz w:val="13"/>
                <w:szCs w:val="13"/>
                <w:b w:val="1"/>
                <w:bCs w:val="1"/>
                <w:color w:val="auto"/>
              </w:rPr>
              <w:t>For the Three Months Ended September 28, 2025</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center"/>
              <w:ind w:right="400"/>
              <w:spacing w:after="0" w:line="126" w:lineRule="exact"/>
              <w:rPr>
                <w:sz w:val="20"/>
                <w:szCs w:val="20"/>
                <w:color w:val="auto"/>
              </w:rPr>
            </w:pPr>
            <w:r>
              <w:rPr>
                <w:rFonts w:ascii="Arial" w:cs="Arial" w:eastAsia="Arial" w:hAnsi="Arial"/>
                <w:sz w:val="13"/>
                <w:szCs w:val="13"/>
                <w:b w:val="1"/>
                <w:bCs w:val="1"/>
                <w:color w:val="auto"/>
                <w:w w:val="95"/>
              </w:rPr>
              <w:t>Pre-tax</w:t>
            </w:r>
          </w:p>
        </w:tc>
        <w:tc>
          <w:tcPr>
            <w:tcW w:w="2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ind w:right="77"/>
              <w:spacing w:after="0" w:line="126" w:lineRule="exact"/>
              <w:rPr>
                <w:sz w:val="20"/>
                <w:szCs w:val="20"/>
                <w:color w:val="auto"/>
              </w:rPr>
            </w:pPr>
            <w:r>
              <w:rPr>
                <w:rFonts w:ascii="Arial" w:cs="Arial" w:eastAsia="Arial" w:hAnsi="Arial"/>
                <w:sz w:val="13"/>
                <w:szCs w:val="13"/>
                <w:b w:val="1"/>
                <w:bCs w:val="1"/>
                <w:color w:val="auto"/>
                <w:w w:val="95"/>
              </w:rPr>
              <w:t>Diluted</w:t>
            </w: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center"/>
              <w:ind w:right="298"/>
              <w:spacing w:after="0" w:line="126" w:lineRule="exact"/>
              <w:rPr>
                <w:sz w:val="20"/>
                <w:szCs w:val="20"/>
                <w:color w:val="auto"/>
              </w:rPr>
            </w:pPr>
            <w:r>
              <w:rPr>
                <w:rFonts w:ascii="Arial" w:cs="Arial" w:eastAsia="Arial" w:hAnsi="Arial"/>
                <w:sz w:val="13"/>
                <w:szCs w:val="13"/>
                <w:b w:val="1"/>
                <w:bCs w:val="1"/>
                <w:color w:val="auto"/>
                <w:w w:val="95"/>
              </w:rPr>
              <w:t>Pre-tax</w:t>
            </w:r>
          </w:p>
        </w:tc>
        <w:tc>
          <w:tcPr>
            <w:tcW w:w="2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ind w:right="77"/>
              <w:spacing w:after="0" w:line="126" w:lineRule="exact"/>
              <w:rPr>
                <w:sz w:val="20"/>
                <w:szCs w:val="20"/>
                <w:color w:val="auto"/>
              </w:rPr>
            </w:pPr>
            <w:r>
              <w:rPr>
                <w:rFonts w:ascii="Arial" w:cs="Arial" w:eastAsia="Arial" w:hAnsi="Arial"/>
                <w:sz w:val="13"/>
                <w:szCs w:val="13"/>
                <w:b w:val="1"/>
                <w:bCs w:val="1"/>
                <w:color w:val="auto"/>
                <w:w w:val="99"/>
              </w:rPr>
              <w:t>Diluted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3240" w:type="dxa"/>
            <w:vAlign w:val="bottom"/>
            <w:gridSpan w:val="2"/>
            <w:vMerge w:val="restart"/>
          </w:tcPr>
          <w:p>
            <w:pPr>
              <w:spacing w:after="0"/>
              <w:rPr>
                <w:sz w:val="20"/>
                <w:szCs w:val="20"/>
                <w:color w:val="auto"/>
              </w:rPr>
            </w:pPr>
            <w:r>
              <w:rPr>
                <w:rFonts w:ascii="Arial" w:cs="Arial" w:eastAsia="Arial" w:hAnsi="Arial"/>
                <w:sz w:val="13"/>
                <w:szCs w:val="13"/>
                <w:color w:val="auto"/>
              </w:rPr>
              <w:t>GAAP results</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8"/>
              </w:rPr>
              <w:t>Loss</w:t>
            </w:r>
          </w:p>
        </w:tc>
        <w:tc>
          <w:tcPr>
            <w:tcW w:w="96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w w:val="97"/>
              </w:rPr>
              <w:t>Tax Impact</w:t>
            </w:r>
          </w:p>
        </w:tc>
        <w:tc>
          <w:tcPr>
            <w:tcW w:w="8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Arial" w:cs="Arial" w:eastAsia="Arial" w:hAnsi="Arial"/>
                <w:sz w:val="13"/>
                <w:szCs w:val="13"/>
                <w:b w:val="1"/>
                <w:bCs w:val="1"/>
                <w:color w:val="auto"/>
              </w:rPr>
              <w:t>Net Loss</w:t>
            </w:r>
          </w:p>
        </w:tc>
        <w:tc>
          <w:tcPr>
            <w:tcW w:w="80" w:type="dxa"/>
            <w:vAlign w:val="bottom"/>
          </w:tcPr>
          <w:p>
            <w:pPr>
              <w:spacing w:after="0"/>
              <w:rPr>
                <w:sz w:val="13"/>
                <w:szCs w:val="13"/>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9"/>
              </w:rPr>
              <w:t>EPS</w:t>
            </w:r>
          </w:p>
        </w:tc>
        <w:tc>
          <w:tcPr>
            <w:tcW w:w="100" w:type="dxa"/>
            <w:vAlign w:val="bottom"/>
          </w:tcPr>
          <w:p>
            <w:pPr>
              <w:spacing w:after="0"/>
              <w:rPr>
                <w:sz w:val="13"/>
                <w:szCs w:val="13"/>
                <w:color w:val="auto"/>
              </w:rPr>
            </w:pPr>
          </w:p>
        </w:tc>
        <w:tc>
          <w:tcPr>
            <w:tcW w:w="840" w:type="dxa"/>
            <w:vAlign w:val="bottom"/>
            <w:gridSpan w:val="2"/>
          </w:tcPr>
          <w:p>
            <w:pPr>
              <w:jc w:val="center"/>
              <w:ind w:right="258"/>
              <w:spacing w:after="0"/>
              <w:rPr>
                <w:sz w:val="20"/>
                <w:szCs w:val="20"/>
                <w:color w:val="auto"/>
              </w:rPr>
            </w:pPr>
            <w:r>
              <w:rPr>
                <w:rFonts w:ascii="Arial" w:cs="Arial" w:eastAsia="Arial" w:hAnsi="Arial"/>
                <w:sz w:val="13"/>
                <w:szCs w:val="13"/>
                <w:b w:val="1"/>
                <w:bCs w:val="1"/>
                <w:color w:val="auto"/>
                <w:w w:val="98"/>
              </w:rPr>
              <w:t>Loss</w:t>
            </w:r>
          </w:p>
        </w:tc>
        <w:tc>
          <w:tcPr>
            <w:tcW w:w="920" w:type="dxa"/>
            <w:vAlign w:val="bottom"/>
            <w:gridSpan w:val="3"/>
          </w:tcPr>
          <w:p>
            <w:pPr>
              <w:ind w:left="20"/>
              <w:spacing w:after="0"/>
              <w:rPr>
                <w:sz w:val="20"/>
                <w:szCs w:val="20"/>
                <w:color w:val="auto"/>
              </w:rPr>
            </w:pPr>
            <w:r>
              <w:rPr>
                <w:rFonts w:ascii="Arial" w:cs="Arial" w:eastAsia="Arial" w:hAnsi="Arial"/>
                <w:sz w:val="13"/>
                <w:szCs w:val="13"/>
                <w:b w:val="1"/>
                <w:bCs w:val="1"/>
                <w:color w:val="auto"/>
              </w:rPr>
              <w:t>Tax Impact</w:t>
            </w:r>
          </w:p>
        </w:tc>
        <w:tc>
          <w:tcPr>
            <w:tcW w:w="60" w:type="dxa"/>
            <w:vAlign w:val="bottom"/>
          </w:tcPr>
          <w:p>
            <w:pPr>
              <w:spacing w:after="0"/>
              <w:rPr>
                <w:sz w:val="13"/>
                <w:szCs w:val="13"/>
                <w:color w:val="auto"/>
              </w:rPr>
            </w:pPr>
          </w:p>
        </w:tc>
        <w:tc>
          <w:tcPr>
            <w:tcW w:w="840" w:type="dxa"/>
            <w:vAlign w:val="bottom"/>
            <w:gridSpan w:val="2"/>
          </w:tcPr>
          <w:p>
            <w:pPr>
              <w:jc w:val="right"/>
              <w:ind w:right="258"/>
              <w:spacing w:after="0"/>
              <w:rPr>
                <w:sz w:val="20"/>
                <w:szCs w:val="20"/>
                <w:color w:val="auto"/>
              </w:rPr>
            </w:pPr>
            <w:r>
              <w:rPr>
                <w:rFonts w:ascii="Arial" w:cs="Arial" w:eastAsia="Arial" w:hAnsi="Arial"/>
                <w:sz w:val="13"/>
                <w:szCs w:val="13"/>
                <w:b w:val="1"/>
                <w:bCs w:val="1"/>
                <w:color w:val="auto"/>
                <w:w w:val="94"/>
              </w:rPr>
              <w:t>Net Loss</w:t>
            </w:r>
          </w:p>
        </w:tc>
        <w:tc>
          <w:tcPr>
            <w:tcW w:w="100" w:type="dxa"/>
            <w:vAlign w:val="bottom"/>
          </w:tcPr>
          <w:p>
            <w:pPr>
              <w:spacing w:after="0"/>
              <w:rPr>
                <w:sz w:val="13"/>
                <w:szCs w:val="13"/>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EPS</w:t>
            </w:r>
          </w:p>
        </w:tc>
        <w:tc>
          <w:tcPr>
            <w:tcW w:w="0" w:type="dxa"/>
            <w:vAlign w:val="bottom"/>
          </w:tcPr>
          <w:p>
            <w:pPr>
              <w:spacing w:after="0"/>
              <w:rPr>
                <w:sz w:val="1"/>
                <w:szCs w:val="1"/>
                <w:color w:val="auto"/>
              </w:rPr>
            </w:pPr>
          </w:p>
        </w:tc>
      </w:tr>
      <w:tr>
        <w:trPr>
          <w:trHeight w:val="134"/>
        </w:trPr>
        <w:tc>
          <w:tcPr>
            <w:tcW w:w="324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3"/>
                <w:szCs w:val="13"/>
                <w:color w:val="auto"/>
              </w:rPr>
              <w:t>(983)</w:t>
            </w:r>
          </w:p>
        </w:tc>
        <w:tc>
          <w:tcPr>
            <w:tcW w:w="240" w:type="dxa"/>
            <w:vAlign w:val="bottom"/>
          </w:tcPr>
          <w:p>
            <w:pPr>
              <w:spacing w:after="0"/>
              <w:rPr>
                <w:sz w:val="11"/>
                <w:szCs w:val="11"/>
                <w:color w:val="auto"/>
              </w:rPr>
            </w:pPr>
          </w:p>
        </w:tc>
        <w:tc>
          <w:tcPr>
            <w:tcW w:w="200" w:type="dxa"/>
            <w:vAlign w:val="bottom"/>
            <w:tcBorders>
              <w:top w:val="single" w:sz="8" w:color="auto"/>
            </w:tcBorders>
          </w:tcPr>
          <w:p>
            <w:pPr>
              <w:jc w:val="right"/>
              <w:ind w:right="87"/>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3"/>
                <w:szCs w:val="13"/>
                <w:color w:val="auto"/>
              </w:rPr>
              <w:t>(1,037)</w:t>
            </w:r>
          </w:p>
        </w:tc>
        <w:tc>
          <w:tcPr>
            <w:tcW w:w="24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3"/>
                <w:szCs w:val="13"/>
                <w:color w:val="auto"/>
              </w:rPr>
              <w:t>(2,020)</w:t>
            </w:r>
          </w:p>
        </w:tc>
        <w:tc>
          <w:tcPr>
            <w:tcW w:w="24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3"/>
                <w:szCs w:val="13"/>
                <w:color w:val="auto"/>
              </w:rPr>
              <w:t>(0.11)</w:t>
            </w:r>
          </w:p>
        </w:tc>
        <w:tc>
          <w:tcPr>
            <w:tcW w:w="220" w:type="dxa"/>
            <w:vAlign w:val="bottom"/>
          </w:tcPr>
          <w:p>
            <w:pPr>
              <w:spacing w:after="0"/>
              <w:rPr>
                <w:sz w:val="11"/>
                <w:szCs w:val="11"/>
                <w:color w:val="auto"/>
              </w:rPr>
            </w:pPr>
          </w:p>
        </w:tc>
        <w:tc>
          <w:tcPr>
            <w:tcW w:w="10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3"/>
                <w:szCs w:val="13"/>
                <w:color w:val="auto"/>
              </w:rPr>
              <w:t>(11,161)</w:t>
            </w:r>
          </w:p>
        </w:tc>
        <w:tc>
          <w:tcPr>
            <w:tcW w:w="200" w:type="dxa"/>
            <w:vAlign w:val="bottom"/>
          </w:tcPr>
          <w:p>
            <w:pPr>
              <w:spacing w:after="0"/>
              <w:rPr>
                <w:sz w:val="11"/>
                <w:szCs w:val="11"/>
                <w:color w:val="auto"/>
              </w:rPr>
            </w:pPr>
          </w:p>
        </w:tc>
        <w:tc>
          <w:tcPr>
            <w:tcW w:w="260" w:type="dxa"/>
            <w:vAlign w:val="bottom"/>
            <w:tcBorders>
              <w:top w:val="single" w:sz="8" w:color="auto"/>
            </w:tcBorders>
          </w:tcPr>
          <w:p>
            <w:pPr>
              <w:spacing w:after="0" w:line="134" w:lineRule="exact"/>
              <w:rPr>
                <w:sz w:val="20"/>
                <w:szCs w:val="20"/>
                <w:color w:val="auto"/>
              </w:rPr>
            </w:pPr>
            <w:r>
              <w:rPr>
                <w:rFonts w:ascii="Arial" w:cs="Arial" w:eastAsia="Arial" w:hAnsi="Arial"/>
                <w:sz w:val="13"/>
                <w:szCs w:val="13"/>
                <w:color w:val="auto"/>
              </w:rPr>
              <w:t>$</w:t>
            </w:r>
          </w:p>
        </w:tc>
        <w:tc>
          <w:tcPr>
            <w:tcW w:w="44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3"/>
                <w:szCs w:val="13"/>
                <w:color w:val="auto"/>
              </w:rPr>
              <w:t>(196)</w:t>
            </w:r>
          </w:p>
        </w:tc>
        <w:tc>
          <w:tcPr>
            <w:tcW w:w="22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3"/>
                <w:szCs w:val="13"/>
                <w:color w:val="auto"/>
              </w:rPr>
              <w:t>(11,357)</w:t>
            </w:r>
          </w:p>
        </w:tc>
        <w:tc>
          <w:tcPr>
            <w:tcW w:w="200" w:type="dxa"/>
            <w:vAlign w:val="bottom"/>
          </w:tcPr>
          <w:p>
            <w:pPr>
              <w:spacing w:after="0"/>
              <w:rPr>
                <w:sz w:val="11"/>
                <w:szCs w:val="11"/>
                <w:color w:val="auto"/>
              </w:rPr>
            </w:pPr>
          </w:p>
        </w:tc>
        <w:tc>
          <w:tcPr>
            <w:tcW w:w="10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3"/>
                <w:szCs w:val="13"/>
                <w:color w:val="auto"/>
              </w:rPr>
              <w:t>(0.62)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220" w:type="dxa"/>
            <w:vAlign w:val="bottom"/>
            <w:shd w:val="clear" w:color="auto" w:fill="CFF0FC"/>
          </w:tcPr>
          <w:p>
            <w:pPr>
              <w:spacing w:after="0" w:line="165" w:lineRule="exact"/>
              <w:rPr>
                <w:sz w:val="20"/>
                <w:szCs w:val="20"/>
                <w:color w:val="auto"/>
              </w:rPr>
            </w:pPr>
            <w:r>
              <w:rPr>
                <w:rFonts w:ascii="Arial" w:cs="Arial" w:eastAsia="Arial" w:hAnsi="Arial"/>
                <w:sz w:val="13"/>
                <w:szCs w:val="13"/>
                <w:color w:val="auto"/>
              </w:rPr>
              <w:t xml:space="preserve">Loss on foreign currency transaction, net </w:t>
            </w:r>
            <w:r>
              <w:rPr>
                <w:rFonts w:ascii="Arial" w:cs="Arial" w:eastAsia="Arial" w:hAnsi="Arial"/>
                <w:sz w:val="16"/>
                <w:szCs w:val="16"/>
                <w:color w:val="auto"/>
                <w:vertAlign w:val="superscript"/>
              </w:rPr>
              <w:t>(1)</w:t>
            </w: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(16)</w:t>
            </w: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0.01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220" w:type="dxa"/>
            <w:vAlign w:val="bottom"/>
          </w:tcPr>
          <w:p>
            <w:pPr>
              <w:spacing w:after="0" w:line="165" w:lineRule="exact"/>
              <w:rPr>
                <w:sz w:val="20"/>
                <w:szCs w:val="20"/>
                <w:color w:val="auto"/>
              </w:rPr>
            </w:pPr>
            <w:r>
              <w:rPr>
                <w:rFonts w:ascii="Arial" w:cs="Arial" w:eastAsia="Arial" w:hAnsi="Arial"/>
                <w:sz w:val="13"/>
                <w:szCs w:val="13"/>
                <w:color w:val="auto"/>
              </w:rPr>
              <w:t xml:space="preserve">Transition costs </w:t>
            </w:r>
            <w:r>
              <w:rPr>
                <w:rFonts w:ascii="Arial" w:cs="Arial" w:eastAsia="Arial" w:hAnsi="Arial"/>
                <w:sz w:val="16"/>
                <w:szCs w:val="16"/>
                <w:color w:val="auto"/>
                <w:vertAlign w:val="superscript"/>
              </w:rPr>
              <w:t>(2)</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265</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265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0.01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4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220" w:type="dxa"/>
            <w:vAlign w:val="bottom"/>
            <w:shd w:val="clear" w:color="auto" w:fill="CFF0FC"/>
          </w:tcPr>
          <w:p>
            <w:pPr>
              <w:spacing w:after="0" w:line="165" w:lineRule="exact"/>
              <w:rPr>
                <w:sz w:val="20"/>
                <w:szCs w:val="20"/>
                <w:color w:val="auto"/>
              </w:rPr>
            </w:pPr>
            <w:r>
              <w:rPr>
                <w:rFonts w:ascii="Arial" w:cs="Arial" w:eastAsia="Arial" w:hAnsi="Arial"/>
                <w:sz w:val="13"/>
                <w:szCs w:val="13"/>
                <w:color w:val="auto"/>
              </w:rPr>
              <w:t xml:space="preserve">Restructuring costs, net </w:t>
            </w:r>
            <w:r>
              <w:rPr>
                <w:rFonts w:ascii="Arial" w:cs="Arial" w:eastAsia="Arial" w:hAnsi="Arial"/>
                <w:sz w:val="16"/>
                <w:szCs w:val="16"/>
                <w:color w:val="auto"/>
                <w:vertAlign w:val="superscript"/>
              </w:rPr>
              <w:t>(3)</w:t>
            </w: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1,068</w:t>
            </w: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1,068</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0.06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240" w:type="dxa"/>
            <w:vAlign w:val="bottom"/>
            <w:gridSpan w:val="2"/>
          </w:tcPr>
          <w:p>
            <w:pPr>
              <w:spacing w:after="0" w:line="134" w:lineRule="exact"/>
              <w:rPr>
                <w:sz w:val="20"/>
                <w:szCs w:val="20"/>
                <w:color w:val="auto"/>
              </w:rPr>
            </w:pPr>
            <w:r>
              <w:rPr>
                <w:rFonts w:ascii="Arial" w:cs="Arial" w:eastAsia="Arial" w:hAnsi="Arial"/>
                <w:sz w:val="13"/>
                <w:szCs w:val="13"/>
                <w:color w:val="auto"/>
              </w:rPr>
              <w:t>Adjusted results</w:t>
            </w:r>
          </w:p>
        </w:tc>
        <w:tc>
          <w:tcPr>
            <w:tcW w:w="6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(627)</w:t>
            </w:r>
          </w:p>
        </w:tc>
        <w:tc>
          <w:tcPr>
            <w:tcW w:w="240" w:type="dxa"/>
            <w:vAlign w:val="bottom"/>
          </w:tcPr>
          <w:p>
            <w:pPr>
              <w:spacing w:after="0"/>
              <w:rPr>
                <w:sz w:val="11"/>
                <w:szCs w:val="11"/>
                <w:color w:val="auto"/>
              </w:rPr>
            </w:pPr>
          </w:p>
        </w:tc>
        <w:tc>
          <w:tcPr>
            <w:tcW w:w="20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(1,053)</w:t>
            </w:r>
          </w:p>
        </w:tc>
        <w:tc>
          <w:tcPr>
            <w:tcW w:w="24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(1,680)</w:t>
            </w:r>
          </w:p>
        </w:tc>
        <w:tc>
          <w:tcPr>
            <w:tcW w:w="24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(0.09)</w:t>
            </w: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(10,093</w:t>
            </w:r>
          </w:p>
        </w:tc>
        <w:tc>
          <w:tcPr>
            <w:tcW w:w="200" w:type="dxa"/>
            <w:vAlign w:val="bottom"/>
          </w:tcPr>
          <w:p>
            <w:pPr>
              <w:jc w:val="right"/>
              <w:ind w:right="118"/>
              <w:spacing w:after="0"/>
              <w:rPr>
                <w:sz w:val="20"/>
                <w:szCs w:val="20"/>
                <w:color w:val="auto"/>
              </w:rPr>
            </w:pPr>
            <w:r>
              <w:rPr>
                <w:rFonts w:ascii="Arial" w:cs="Arial" w:eastAsia="Arial" w:hAnsi="Arial"/>
                <w:sz w:val="8"/>
                <w:szCs w:val="8"/>
                <w:color w:val="auto"/>
                <w:w w:val="73"/>
              </w:rPr>
              <w:t>)</w:t>
            </w:r>
          </w:p>
        </w:tc>
        <w:tc>
          <w:tcPr>
            <w:tcW w:w="260" w:type="dxa"/>
            <w:vAlign w:val="bottom"/>
            <w:tcBorders>
              <w:top w:val="single" w:sz="8" w:color="auto"/>
              <w:bottom w:val="single" w:sz="8" w:color="auto"/>
            </w:tcBorders>
          </w:tcPr>
          <w:p>
            <w:pPr>
              <w:spacing w:after="0" w:line="122" w:lineRule="exact"/>
              <w:rPr>
                <w:sz w:val="20"/>
                <w:szCs w:val="20"/>
                <w:color w:val="auto"/>
              </w:rPr>
            </w:pPr>
            <w:r>
              <w:rPr>
                <w:rFonts w:ascii="Arial" w:cs="Arial" w:eastAsia="Arial" w:hAnsi="Arial"/>
                <w:sz w:val="13"/>
                <w:szCs w:val="13"/>
                <w:color w:val="auto"/>
              </w:rPr>
              <w:t>$</w:t>
            </w:r>
          </w:p>
        </w:tc>
        <w:tc>
          <w:tcPr>
            <w:tcW w:w="44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(196)</w:t>
            </w:r>
          </w:p>
        </w:tc>
        <w:tc>
          <w:tcPr>
            <w:tcW w:w="22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(10,289</w:t>
            </w:r>
          </w:p>
        </w:tc>
        <w:tc>
          <w:tcPr>
            <w:tcW w:w="200" w:type="dxa"/>
            <w:vAlign w:val="bottom"/>
          </w:tcPr>
          <w:p>
            <w:pPr>
              <w:jc w:val="right"/>
              <w:ind w:right="118"/>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(0.56)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vMerge w:val="restart"/>
          </w:tcPr>
          <w:p>
            <w:pPr>
              <w:spacing w:after="0"/>
              <w:rPr>
                <w:sz w:val="10"/>
                <w:szCs w:val="10"/>
                <w:color w:val="auto"/>
              </w:rPr>
            </w:pPr>
          </w:p>
        </w:tc>
        <w:tc>
          <w:tcPr>
            <w:tcW w:w="32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3220" w:type="dxa"/>
            <w:vAlign w:val="bottom"/>
          </w:tcPr>
          <w:p>
            <w:pPr>
              <w:spacing w:after="0"/>
              <w:rPr>
                <w:sz w:val="20"/>
                <w:szCs w:val="20"/>
                <w:color w:val="auto"/>
              </w:rPr>
            </w:pPr>
            <w:r>
              <w:rPr>
                <w:rFonts w:ascii="Arial" w:cs="Arial" w:eastAsia="Arial" w:hAnsi="Arial"/>
                <w:sz w:val="13"/>
                <w:szCs w:val="13"/>
                <w:color w:val="auto"/>
              </w:rPr>
              <w:t>Weighted average common shares outstanding</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18,588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18,361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left="365" w:hanging="365"/>
        <w:spacing w:after="0" w:line="241" w:lineRule="auto"/>
        <w:tabs>
          <w:tab w:leader="none" w:pos="365"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 the first quarter of fiscal 2027, UNIFI recorded a foreign currency loss of $91. In December 2025, Brazil declared dividends against the majority of its retained earnings in connection with certain tax law changes related to future dividends. Foreign currency transaction gains (losses) are recorded to reflect changes in the exchange rate of the Brazilian Real to the U.S. Dollar while the dividend payable is outstanding. The associated tax impact was estimated to be $16, based on the estimated annual tax rate for the period.</w:t>
      </w:r>
    </w:p>
    <w:p>
      <w:pPr>
        <w:spacing w:after="0" w:line="34" w:lineRule="exact"/>
        <w:rPr>
          <w:rFonts w:ascii="Arial" w:cs="Arial" w:eastAsia="Arial" w:hAnsi="Arial"/>
          <w:sz w:val="13"/>
          <w:szCs w:val="13"/>
          <w:color w:val="auto"/>
        </w:rPr>
      </w:pPr>
    </w:p>
    <w:p>
      <w:pPr>
        <w:jc w:val="both"/>
        <w:ind w:left="365" w:right="20" w:hanging="365"/>
        <w:spacing w:after="0" w:line="241" w:lineRule="auto"/>
        <w:tabs>
          <w:tab w:leader="none" w:pos="365"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 the first quarter of fiscal 2027, UNIFI recorded various transition costs totaling $265 within Other operating expense, net in connection with the purchase agreement entered into on August 16, 2026 for the sale of two non-strategic real estate assets in Yadkinville, North Carolina. The associated tax impact was estimated to be $0 due to a valuation allowance against net operating losses in the U.S.</w:t>
      </w:r>
    </w:p>
    <w:p>
      <w:pPr>
        <w:spacing w:after="0" w:line="34" w:lineRule="exact"/>
        <w:rPr>
          <w:rFonts w:ascii="Arial" w:cs="Arial" w:eastAsia="Arial" w:hAnsi="Arial"/>
          <w:sz w:val="13"/>
          <w:szCs w:val="13"/>
          <w:color w:val="auto"/>
        </w:rPr>
      </w:pPr>
    </w:p>
    <w:p>
      <w:pPr>
        <w:jc w:val="both"/>
        <w:ind w:left="365" w:hanging="365"/>
        <w:spacing w:after="0" w:line="237" w:lineRule="auto"/>
        <w:tabs>
          <w:tab w:leader="none" w:pos="365"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 the first quarter of fiscal 2026, UNIFI incurred various restructuring costs totaling $1,068 in connection with the consolidation of its yarn manufacturing operations including (i) facility closure and equipment relocation costs (including asset impairments and disposals) of $1,021, and (ii) employee separation costs of $47. The facility closure, equipment relocation, and employee separation costs were all recorded within Restructuring costs in the Condensed Consolidated Statements of Operations. The associated tax impact was estimated to be $0 due to a valuation allowance against net operating losses in the U.S.</w:t>
      </w:r>
    </w:p>
    <w:p>
      <w:pPr>
        <w:spacing w:after="0" w:line="249"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2300" w:type="dxa"/>
            <w:vAlign w:val="bottom"/>
            <w:tcBorders>
              <w:bottom w:val="single" w:sz="8" w:color="auto"/>
            </w:tcBorders>
            <w:gridSpan w:val="2"/>
          </w:tcPr>
          <w:p>
            <w:pPr>
              <w:spacing w:after="0"/>
              <w:rPr>
                <w:sz w:val="20"/>
                <w:szCs w:val="20"/>
                <w:color w:val="auto"/>
              </w:rPr>
            </w:pPr>
            <w:r>
              <w:rPr>
                <w:rFonts w:ascii="Arial" w:cs="Arial" w:eastAsia="Arial" w:hAnsi="Arial"/>
                <w:sz w:val="13"/>
                <w:szCs w:val="13"/>
                <w:i w:val="1"/>
                <w:iCs w:val="1"/>
                <w:color w:val="auto"/>
                <w:w w:val="95"/>
              </w:rPr>
              <w:t>Net Debt (Non-GAAP Financial Measure)</w:t>
            </w:r>
          </w:p>
        </w:tc>
        <w:tc>
          <w:tcPr>
            <w:tcW w:w="5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7720" w:type="dxa"/>
            <w:vAlign w:val="bottom"/>
            <w:gridSpan w:val="3"/>
          </w:tcPr>
          <w:p>
            <w:pPr>
              <w:spacing w:after="0"/>
              <w:rPr>
                <w:sz w:val="20"/>
                <w:szCs w:val="20"/>
                <w:color w:val="auto"/>
              </w:rPr>
            </w:pPr>
            <w:r>
              <w:rPr>
                <w:rFonts w:ascii="Arial" w:cs="Arial" w:eastAsia="Arial" w:hAnsi="Arial"/>
                <w:sz w:val="13"/>
                <w:szCs w:val="13"/>
                <w:color w:val="auto"/>
              </w:rPr>
              <w:t>Reconciliations of Net Debt are as follows:</w:t>
            </w: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September 27, 2026</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June 28, 2026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7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Long-term debt</w:t>
            </w:r>
          </w:p>
        </w:tc>
        <w:tc>
          <w:tcPr>
            <w:tcW w:w="140" w:type="dxa"/>
            <w:vAlign w:val="bottom"/>
            <w:shd w:val="clear" w:color="auto" w:fill="CFF0FC"/>
          </w:tcPr>
          <w:p>
            <w:pPr>
              <w:jc w:val="right"/>
              <w:ind w:right="33"/>
              <w:spacing w:after="0"/>
              <w:rPr>
                <w:sz w:val="20"/>
                <w:szCs w:val="20"/>
                <w:color w:val="auto"/>
              </w:rPr>
            </w:pPr>
            <w:r>
              <w:rPr>
                <w:rFonts w:ascii="Arial" w:cs="Arial" w:eastAsia="Arial" w:hAnsi="Arial"/>
                <w:sz w:val="9"/>
                <w:szCs w:val="9"/>
                <w:color w:val="auto"/>
                <w:w w:val="78"/>
              </w:rPr>
              <w:t>$</w:t>
            </w:r>
          </w:p>
        </w:tc>
        <w:tc>
          <w:tcPr>
            <w:tcW w:w="144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78,756</w:t>
            </w:r>
          </w:p>
        </w:tc>
        <w:tc>
          <w:tcPr>
            <w:tcW w:w="520" w:type="dxa"/>
            <w:vAlign w:val="bottom"/>
            <w:gridSpan w:val="2"/>
            <w:shd w:val="clear" w:color="auto" w:fill="CFF0FC"/>
          </w:tcPr>
          <w:p>
            <w:pPr>
              <w:jc w:val="right"/>
              <w:ind w:right="113"/>
              <w:spacing w:after="0" w:line="134" w:lineRule="exact"/>
              <w:rPr>
                <w:sz w:val="20"/>
                <w:szCs w:val="20"/>
                <w:color w:val="auto"/>
              </w:rPr>
            </w:pPr>
            <w:r>
              <w:rPr>
                <w:rFonts w:ascii="Arial" w:cs="Arial" w:eastAsia="Arial" w:hAnsi="Arial"/>
                <w:sz w:val="13"/>
                <w:szCs w:val="13"/>
                <w:color w:val="auto"/>
              </w:rPr>
              <w:t>$</w:t>
            </w:r>
          </w:p>
        </w:tc>
        <w:tc>
          <w:tcPr>
            <w:tcW w:w="1440" w:type="dxa"/>
            <w:vAlign w:val="bottom"/>
            <w:gridSpan w:val="2"/>
            <w:shd w:val="clear" w:color="auto" w:fill="CFF0FC"/>
          </w:tcPr>
          <w:p>
            <w:pPr>
              <w:jc w:val="right"/>
              <w:ind w:right="120"/>
              <w:spacing w:after="0" w:line="134" w:lineRule="exact"/>
              <w:rPr>
                <w:sz w:val="20"/>
                <w:szCs w:val="20"/>
                <w:color w:val="auto"/>
              </w:rPr>
            </w:pPr>
            <w:r>
              <w:rPr>
                <w:rFonts w:ascii="Arial" w:cs="Arial" w:eastAsia="Arial" w:hAnsi="Arial"/>
                <w:sz w:val="13"/>
                <w:szCs w:val="13"/>
                <w:color w:val="auto"/>
              </w:rPr>
              <w:t>79,998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00" w:type="dxa"/>
            <w:vAlign w:val="bottom"/>
            <w:gridSpan w:val="2"/>
          </w:tcPr>
          <w:p>
            <w:pPr>
              <w:spacing w:after="0" w:line="142" w:lineRule="exact"/>
              <w:rPr>
                <w:sz w:val="20"/>
                <w:szCs w:val="20"/>
                <w:color w:val="auto"/>
              </w:rPr>
            </w:pPr>
            <w:r>
              <w:rPr>
                <w:rFonts w:ascii="Arial" w:cs="Arial" w:eastAsia="Arial" w:hAnsi="Arial"/>
                <w:sz w:val="13"/>
                <w:szCs w:val="13"/>
                <w:color w:val="auto"/>
              </w:rPr>
              <w:t>Current portion of long-term debt</w:t>
            </w:r>
          </w:p>
        </w:tc>
        <w:tc>
          <w:tcPr>
            <w:tcW w:w="140" w:type="dxa"/>
            <w:vAlign w:val="bottom"/>
          </w:tcPr>
          <w:p>
            <w:pPr>
              <w:spacing w:after="0"/>
              <w:rPr>
                <w:sz w:val="12"/>
                <w:szCs w:val="12"/>
                <w:color w:val="auto"/>
              </w:rPr>
            </w:pPr>
          </w:p>
        </w:tc>
        <w:tc>
          <w:tcPr>
            <w:tcW w:w="1440" w:type="dxa"/>
            <w:vAlign w:val="bottom"/>
          </w:tcPr>
          <w:p>
            <w:pPr>
              <w:jc w:val="right"/>
              <w:spacing w:after="0" w:line="142" w:lineRule="exact"/>
              <w:rPr>
                <w:sz w:val="20"/>
                <w:szCs w:val="20"/>
                <w:color w:val="auto"/>
              </w:rPr>
            </w:pPr>
            <w:r>
              <w:rPr>
                <w:rFonts w:ascii="Arial" w:cs="Arial" w:eastAsia="Arial" w:hAnsi="Arial"/>
                <w:sz w:val="13"/>
                <w:szCs w:val="13"/>
                <w:color w:val="auto"/>
              </w:rPr>
              <w:t>12,087</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12,371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00" w:type="dxa"/>
            <w:vAlign w:val="bottom"/>
            <w:gridSpan w:val="2"/>
            <w:shd w:val="clear" w:color="auto" w:fill="CFF0FC"/>
          </w:tcPr>
          <w:p>
            <w:pPr>
              <w:spacing w:after="0" w:line="142" w:lineRule="exact"/>
              <w:rPr>
                <w:sz w:val="20"/>
                <w:szCs w:val="20"/>
                <w:color w:val="auto"/>
              </w:rPr>
            </w:pPr>
            <w:r>
              <w:rPr>
                <w:rFonts w:ascii="Arial" w:cs="Arial" w:eastAsia="Arial" w:hAnsi="Arial"/>
                <w:sz w:val="13"/>
                <w:szCs w:val="13"/>
                <w:color w:val="auto"/>
              </w:rPr>
              <w:t>Unamortized debt issuance costs</w:t>
            </w:r>
          </w:p>
        </w:tc>
        <w:tc>
          <w:tcPr>
            <w:tcW w:w="14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57</w:t>
            </w: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120"/>
              <w:spacing w:after="0" w:line="142" w:lineRule="exact"/>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80" w:type="dxa"/>
            <w:vAlign w:val="bottom"/>
            <w:shd w:val="clear" w:color="auto" w:fill="CFF0FC"/>
          </w:tcPr>
          <w:p>
            <w:pPr>
              <w:spacing w:after="0" w:line="20" w:lineRule="exact"/>
              <w:rPr>
                <w:sz w:val="1"/>
                <w:szCs w:val="1"/>
                <w:color w:val="auto"/>
              </w:rPr>
            </w:pPr>
          </w:p>
        </w:tc>
        <w:tc>
          <w:tcPr>
            <w:tcW w:w="54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continue"/>
          </w:tcPr>
          <w:p>
            <w:pPr>
              <w:spacing w:after="0"/>
              <w:rPr>
                <w:sz w:val="11"/>
                <w:szCs w:val="11"/>
                <w:color w:val="auto"/>
              </w:rPr>
            </w:pPr>
          </w:p>
        </w:tc>
        <w:tc>
          <w:tcPr>
            <w:tcW w:w="7700" w:type="dxa"/>
            <w:vAlign w:val="bottom"/>
            <w:gridSpan w:val="2"/>
          </w:tcPr>
          <w:p>
            <w:pPr>
              <w:spacing w:after="0" w:line="134" w:lineRule="exact"/>
              <w:rPr>
                <w:sz w:val="20"/>
                <w:szCs w:val="20"/>
                <w:color w:val="auto"/>
              </w:rPr>
            </w:pPr>
            <w:r>
              <w:rPr>
                <w:rFonts w:ascii="Arial" w:cs="Arial" w:eastAsia="Arial" w:hAnsi="Arial"/>
                <w:sz w:val="13"/>
                <w:szCs w:val="13"/>
                <w:color w:val="auto"/>
              </w:rPr>
              <w:t>Debt principal</w:t>
            </w:r>
          </w:p>
        </w:tc>
        <w:tc>
          <w:tcPr>
            <w:tcW w:w="140" w:type="dxa"/>
            <w:vAlign w:val="bottom"/>
          </w:tcPr>
          <w:p>
            <w:pPr>
              <w:spacing w:after="0"/>
              <w:rPr>
                <w:sz w:val="11"/>
                <w:szCs w:val="11"/>
                <w:color w:val="auto"/>
              </w:rPr>
            </w:pPr>
          </w:p>
        </w:tc>
        <w:tc>
          <w:tcPr>
            <w:tcW w:w="1440" w:type="dxa"/>
            <w:vAlign w:val="bottom"/>
          </w:tcPr>
          <w:p>
            <w:pPr>
              <w:jc w:val="right"/>
              <w:spacing w:after="0" w:line="134" w:lineRule="exact"/>
              <w:rPr>
                <w:sz w:val="20"/>
                <w:szCs w:val="20"/>
                <w:color w:val="auto"/>
              </w:rPr>
            </w:pPr>
            <w:r>
              <w:rPr>
                <w:rFonts w:ascii="Arial" w:cs="Arial" w:eastAsia="Arial" w:hAnsi="Arial"/>
                <w:sz w:val="13"/>
                <w:szCs w:val="13"/>
                <w:color w:val="auto"/>
              </w:rPr>
              <w:t>90,900</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tcPr>
          <w:p>
            <w:pPr>
              <w:jc w:val="right"/>
              <w:ind w:right="120"/>
              <w:spacing w:after="0" w:line="134" w:lineRule="exact"/>
              <w:rPr>
                <w:sz w:val="20"/>
                <w:szCs w:val="20"/>
                <w:color w:val="auto"/>
              </w:rPr>
            </w:pPr>
            <w:r>
              <w:rPr>
                <w:rFonts w:ascii="Arial" w:cs="Arial" w:eastAsia="Arial" w:hAnsi="Arial"/>
                <w:sz w:val="13"/>
                <w:szCs w:val="13"/>
                <w:color w:val="auto"/>
              </w:rPr>
              <w:t>92,439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00" w:type="dxa"/>
            <w:vAlign w:val="bottom"/>
            <w:gridSpan w:val="2"/>
            <w:shd w:val="clear" w:color="auto" w:fill="CFF0FC"/>
          </w:tcPr>
          <w:p>
            <w:pPr>
              <w:spacing w:after="0" w:line="142" w:lineRule="exact"/>
              <w:rPr>
                <w:sz w:val="20"/>
                <w:szCs w:val="20"/>
                <w:color w:val="auto"/>
              </w:rPr>
            </w:pPr>
            <w:r>
              <w:rPr>
                <w:rFonts w:ascii="Arial" w:cs="Arial" w:eastAsia="Arial" w:hAnsi="Arial"/>
                <w:sz w:val="13"/>
                <w:szCs w:val="13"/>
                <w:color w:val="auto"/>
              </w:rPr>
              <w:t>Less: cash and cash equivalents</w:t>
            </w:r>
          </w:p>
        </w:tc>
        <w:tc>
          <w:tcPr>
            <w:tcW w:w="14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26,091</w:t>
            </w: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120"/>
              <w:spacing w:after="0" w:line="142" w:lineRule="exact"/>
              <w:rPr>
                <w:sz w:val="20"/>
                <w:szCs w:val="20"/>
                <w:color w:val="auto"/>
              </w:rPr>
            </w:pPr>
            <w:r>
              <w:rPr>
                <w:rFonts w:ascii="Arial" w:cs="Arial" w:eastAsia="Arial" w:hAnsi="Arial"/>
                <w:sz w:val="13"/>
                <w:szCs w:val="13"/>
                <w:color w:val="auto"/>
              </w:rPr>
              <w:t>25,072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shd w:val="clear" w:color="auto" w:fill="CFF0FC"/>
          </w:tcPr>
          <w:p>
            <w:pPr>
              <w:spacing w:after="0" w:line="20" w:lineRule="exact"/>
              <w:rPr>
                <w:sz w:val="1"/>
                <w:szCs w:val="1"/>
                <w:color w:val="auto"/>
              </w:rPr>
            </w:pPr>
          </w:p>
        </w:tc>
        <w:tc>
          <w:tcPr>
            <w:tcW w:w="54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7720" w:type="dxa"/>
            <w:vAlign w:val="bottom"/>
            <w:gridSpan w:val="3"/>
          </w:tcPr>
          <w:p>
            <w:pPr>
              <w:spacing w:after="0" w:line="134" w:lineRule="exact"/>
              <w:rPr>
                <w:sz w:val="20"/>
                <w:szCs w:val="20"/>
                <w:color w:val="auto"/>
              </w:rPr>
            </w:pPr>
            <w:r>
              <w:rPr>
                <w:rFonts w:ascii="Arial" w:cs="Arial" w:eastAsia="Arial" w:hAnsi="Arial"/>
                <w:sz w:val="13"/>
                <w:szCs w:val="13"/>
                <w:color w:val="auto"/>
              </w:rPr>
              <w:t>Net Debt</w:t>
            </w:r>
          </w:p>
        </w:tc>
        <w:tc>
          <w:tcPr>
            <w:tcW w:w="140" w:type="dxa"/>
            <w:vAlign w:val="bottom"/>
            <w:tcBorders>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14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64,809</w:t>
            </w:r>
          </w:p>
        </w:tc>
        <w:tc>
          <w:tcPr>
            <w:tcW w:w="300" w:type="dxa"/>
            <w:vAlign w:val="bottom"/>
          </w:tcPr>
          <w:p>
            <w:pPr>
              <w:spacing w:after="0"/>
              <w:rPr>
                <w:sz w:val="11"/>
                <w:szCs w:val="11"/>
                <w:color w:val="auto"/>
              </w:rPr>
            </w:pPr>
          </w:p>
        </w:tc>
        <w:tc>
          <w:tcPr>
            <w:tcW w:w="220" w:type="dxa"/>
            <w:vAlign w:val="bottom"/>
            <w:tcBorders>
              <w:bottom w:val="single" w:sz="8" w:color="auto"/>
            </w:tcBorders>
          </w:tcPr>
          <w:p>
            <w:pPr>
              <w:jc w:val="right"/>
              <w:ind w:right="113"/>
              <w:spacing w:after="0"/>
              <w:rPr>
                <w:sz w:val="20"/>
                <w:szCs w:val="20"/>
                <w:color w:val="auto"/>
              </w:rPr>
            </w:pPr>
            <w:r>
              <w:rPr>
                <w:rFonts w:ascii="Arial" w:cs="Arial" w:eastAsia="Arial" w:hAnsi="Arial"/>
                <w:sz w:val="9"/>
                <w:szCs w:val="9"/>
                <w:color w:val="auto"/>
                <w:w w:val="78"/>
              </w:rPr>
              <w:t>$</w:t>
            </w:r>
          </w:p>
        </w:tc>
        <w:tc>
          <w:tcPr>
            <w:tcW w:w="13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67,367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-307340</wp:posOffset>
            </wp:positionV>
            <wp:extent cx="7493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-307340</wp:posOffset>
            </wp:positionV>
            <wp:extent cx="6731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-119380</wp:posOffset>
            </wp:positionV>
            <wp:extent cx="7493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-119380</wp:posOffset>
            </wp:positionV>
            <wp:extent cx="6731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63" w:lineRule="exact"/>
        <w:rPr>
          <w:sz w:val="20"/>
          <w:szCs w:val="20"/>
          <w:color w:val="auto"/>
        </w:rPr>
      </w:pPr>
    </w:p>
    <w:p>
      <w:pPr>
        <w:ind w:left="5"/>
        <w:spacing w:after="0"/>
        <w:rPr>
          <w:sz w:val="20"/>
          <w:szCs w:val="20"/>
          <w:color w:val="auto"/>
        </w:rPr>
      </w:pPr>
      <w:r>
        <w:rPr>
          <w:rFonts w:ascii="Arial" w:cs="Arial" w:eastAsia="Arial" w:hAnsi="Arial"/>
          <w:sz w:val="13"/>
          <w:szCs w:val="13"/>
          <w:i w:val="1"/>
          <w:iCs w:val="1"/>
          <w:color w:val="auto"/>
        </w:rPr>
        <w:t>Cash and cash equivalents</w:t>
      </w:r>
    </w:p>
    <w:p>
      <w:pPr>
        <w:spacing w:after="0" w:line="85" w:lineRule="exact"/>
        <w:rPr>
          <w:sz w:val="20"/>
          <w:szCs w:val="20"/>
          <w:color w:val="auto"/>
        </w:rPr>
      </w:pPr>
    </w:p>
    <w:p>
      <w:pPr>
        <w:ind w:left="5"/>
        <w:spacing w:after="0"/>
        <w:rPr>
          <w:sz w:val="20"/>
          <w:szCs w:val="20"/>
          <w:color w:val="auto"/>
        </w:rPr>
      </w:pPr>
      <w:r>
        <w:rPr>
          <w:rFonts w:ascii="Arial" w:cs="Arial" w:eastAsia="Arial" w:hAnsi="Arial"/>
          <w:sz w:val="13"/>
          <w:szCs w:val="13"/>
          <w:color w:val="auto"/>
        </w:rPr>
        <w:t>At September 27, 2026 and June 28, 2026, UNIFI’s foreign operations held nearly all consolidated cash and cash equivalents.</w:t>
      </w:r>
    </w:p>
    <w:p>
      <w:pPr>
        <w:spacing w:after="0" w:line="184" w:lineRule="exact"/>
        <w:rPr>
          <w:sz w:val="20"/>
          <w:szCs w:val="20"/>
          <w:color w:val="auto"/>
        </w:rPr>
      </w:pPr>
    </w:p>
    <w:p>
      <w:pPr>
        <w:ind w:left="5"/>
        <w:spacing w:after="0"/>
        <w:rPr>
          <w:sz w:val="20"/>
          <w:szCs w:val="20"/>
          <w:color w:val="auto"/>
        </w:rPr>
      </w:pPr>
      <w:r>
        <w:rPr>
          <w:rFonts w:ascii="Arial" w:cs="Arial" w:eastAsia="Arial" w:hAnsi="Arial"/>
          <w:sz w:val="13"/>
          <w:szCs w:val="13"/>
          <w:i w:val="1"/>
          <w:iCs w:val="1"/>
          <w:color w:val="auto"/>
        </w:rPr>
        <w:t>REPREVE Fiber</w:t>
      </w:r>
    </w:p>
    <w:p>
      <w:pPr>
        <w:spacing w:after="0" w:line="121" w:lineRule="exact"/>
        <w:rPr>
          <w:sz w:val="20"/>
          <w:szCs w:val="20"/>
          <w:color w:val="auto"/>
        </w:rPr>
      </w:pPr>
    </w:p>
    <w:p>
      <w:pPr>
        <w:ind w:left="5"/>
        <w:spacing w:after="0"/>
        <w:rPr>
          <w:sz w:val="20"/>
          <w:szCs w:val="20"/>
          <w:color w:val="auto"/>
        </w:rPr>
      </w:pPr>
      <w:r>
        <w:rPr>
          <w:rFonts w:ascii="Arial" w:cs="Arial" w:eastAsia="Arial" w:hAnsi="Arial"/>
          <w:sz w:val="13"/>
          <w:szCs w:val="13"/>
          <w:color w:val="auto"/>
        </w:rPr>
        <w:t>REPREVE Fiber represents UNIFI’s collection of fiber products on its recycled platform, with or without added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723265</wp:posOffset>
            </wp:positionV>
            <wp:extent cx="7174865"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440" w:right="31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1081405" cy="4057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1081405" cy="405765"/>
                    </a:xfrm>
                    <a:prstGeom prst="rect">
                      <a:avLst/>
                    </a:prstGeom>
                    <a:noFill/>
                  </pic:spPr>
                </pic:pic>
              </a:graphicData>
            </a:graphic>
          </wp:anchor>
        </w:drawing>
      </w:r>
    </w:p>
    <w:p>
      <w:pPr>
        <w:spacing w:after="0" w:line="219" w:lineRule="exact"/>
        <w:rPr>
          <w:sz w:val="20"/>
          <w:szCs w:val="20"/>
          <w:color w:val="auto"/>
        </w:rPr>
      </w:pPr>
    </w:p>
    <w:p>
      <w:pPr>
        <w:ind w:left="5"/>
        <w:spacing w:after="0"/>
        <w:rPr>
          <w:sz w:val="20"/>
          <w:szCs w:val="20"/>
          <w:color w:val="auto"/>
        </w:rPr>
      </w:pPr>
      <w:r>
        <w:rPr>
          <w:rFonts w:ascii="Arial" w:cs="Arial" w:eastAsia="Arial" w:hAnsi="Arial"/>
          <w:sz w:val="13"/>
          <w:szCs w:val="13"/>
          <w:b w:val="1"/>
          <w:bCs w:val="1"/>
          <w:u w:val="single" w:color="auto"/>
          <w:color w:val="auto"/>
        </w:rPr>
        <w:t>Non-GAAP Financial Measures</w:t>
      </w:r>
    </w:p>
    <w:p>
      <w:pPr>
        <w:spacing w:after="0" w:line="123" w:lineRule="exact"/>
        <w:rPr>
          <w:sz w:val="20"/>
          <w:szCs w:val="20"/>
          <w:color w:val="auto"/>
        </w:rPr>
      </w:pPr>
    </w:p>
    <w:p>
      <w:pPr>
        <w:ind w:left="5" w:right="20"/>
        <w:spacing w:after="0" w:line="295" w:lineRule="auto"/>
        <w:rPr>
          <w:sz w:val="20"/>
          <w:szCs w:val="20"/>
          <w:color w:val="auto"/>
        </w:rPr>
      </w:pPr>
      <w:r>
        <w:rPr>
          <w:rFonts w:ascii="Arial" w:cs="Arial" w:eastAsia="Arial" w:hAnsi="Arial"/>
          <w:sz w:val="12"/>
          <w:szCs w:val="12"/>
          <w:color w:val="auto"/>
        </w:rPr>
        <w:t>Certain non-GAAP financial measures included herein are designed to complement the financial information presented in accordance with GAAP. These non-GAAP financial measures include Earnings Before Interest, Taxes, Depreciation and Amortization (“EBITDA”), Adjusted EBITDA, Adjusted Net (Loss) Income, Adjusted EPS, and Net Debt (together, the “non-GAAP financial measures”).</w:t>
      </w:r>
    </w:p>
    <w:p>
      <w:pPr>
        <w:spacing w:after="0" w:line="51" w:lineRule="exact"/>
        <w:rPr>
          <w:sz w:val="20"/>
          <w:szCs w:val="20"/>
          <w:color w:val="auto"/>
        </w:rPr>
      </w:pPr>
    </w:p>
    <w:p>
      <w:pPr>
        <w:ind w:left="365" w:hanging="365"/>
        <w:spacing w:after="0"/>
        <w:tabs>
          <w:tab w:leader="none" w:pos="365" w:val="left"/>
        </w:tabs>
        <w:numPr>
          <w:ilvl w:val="0"/>
          <w:numId w:val="15"/>
        </w:numPr>
        <w:rPr>
          <w:rFonts w:ascii="Times New Roman" w:cs="Times New Roman" w:eastAsia="Times New Roman" w:hAnsi="Times New Roman"/>
          <w:sz w:val="12"/>
          <w:szCs w:val="12"/>
          <w:color w:val="auto"/>
        </w:rPr>
      </w:pPr>
      <w:r>
        <w:rPr>
          <w:rFonts w:ascii="Arial" w:cs="Arial" w:eastAsia="Arial" w:hAnsi="Arial"/>
          <w:sz w:val="13"/>
          <w:szCs w:val="13"/>
          <w:color w:val="auto"/>
        </w:rPr>
        <w:t>EBITDA represents Net (loss) income before net interest expense, income tax expense, and depreciation and amortization expense.</w:t>
      </w:r>
    </w:p>
    <w:p>
      <w:pPr>
        <w:spacing w:after="0" w:line="110" w:lineRule="exact"/>
        <w:rPr>
          <w:rFonts w:ascii="Times New Roman" w:cs="Times New Roman" w:eastAsia="Times New Roman" w:hAnsi="Times New Roman"/>
          <w:sz w:val="12"/>
          <w:szCs w:val="12"/>
          <w:color w:val="auto"/>
        </w:rPr>
      </w:pPr>
    </w:p>
    <w:p>
      <w:pPr>
        <w:ind w:left="365" w:hanging="365"/>
        <w:spacing w:after="0"/>
        <w:tabs>
          <w:tab w:leader="none" w:pos="365" w:val="left"/>
        </w:tabs>
        <w:numPr>
          <w:ilvl w:val="0"/>
          <w:numId w:val="15"/>
        </w:numPr>
        <w:rPr>
          <w:rFonts w:ascii="Times New Roman" w:cs="Times New Roman" w:eastAsia="Times New Roman" w:hAnsi="Times New Roman"/>
          <w:sz w:val="12"/>
          <w:szCs w:val="12"/>
          <w:color w:val="auto"/>
        </w:rPr>
      </w:pPr>
      <w:r>
        <w:rPr>
          <w:rFonts w:ascii="Arial" w:cs="Arial" w:eastAsia="Arial" w:hAnsi="Arial"/>
          <w:sz w:val="13"/>
          <w:szCs w:val="13"/>
          <w:color w:val="auto"/>
        </w:rPr>
        <w:t>Adjusted EBITDA represents EBITDA adjusted to exclude, from time to time, certain adjustments necessary to understand and compare the underlying results of UNIFI.</w:t>
      </w:r>
    </w:p>
    <w:p>
      <w:pPr>
        <w:spacing w:after="0" w:line="98" w:lineRule="exact"/>
        <w:rPr>
          <w:rFonts w:ascii="Times New Roman" w:cs="Times New Roman" w:eastAsia="Times New Roman" w:hAnsi="Times New Roman"/>
          <w:sz w:val="12"/>
          <w:szCs w:val="12"/>
          <w:color w:val="auto"/>
        </w:rPr>
      </w:pPr>
    </w:p>
    <w:p>
      <w:pPr>
        <w:ind w:left="365" w:right="20" w:hanging="365"/>
        <w:spacing w:after="0" w:line="254" w:lineRule="auto"/>
        <w:tabs>
          <w:tab w:leader="none" w:pos="365" w:val="left"/>
        </w:tabs>
        <w:numPr>
          <w:ilvl w:val="0"/>
          <w:numId w:val="15"/>
        </w:numPr>
        <w:rPr>
          <w:rFonts w:ascii="Times New Roman" w:cs="Times New Roman" w:eastAsia="Times New Roman" w:hAnsi="Times New Roman"/>
          <w:sz w:val="12"/>
          <w:szCs w:val="12"/>
          <w:color w:val="auto"/>
        </w:rPr>
      </w:pPr>
      <w:r>
        <w:rPr>
          <w:rFonts w:ascii="Arial" w:cs="Arial" w:eastAsia="Arial" w:hAnsi="Arial"/>
          <w:sz w:val="13"/>
          <w:szCs w:val="13"/>
          <w:color w:val="auto"/>
        </w:rPr>
        <w:t>Adjusted Net (Loss) Income represents Net (loss) income calculated under GAAP adjusted to exclude certain amounts. Management believes the excluded amounts do not reflect the ongoing operations and performance of UNIFI and/or exclusion may be necessary to understand and compare the underlying results of UNIFI.</w:t>
      </w:r>
    </w:p>
    <w:p>
      <w:pPr>
        <w:spacing w:after="0" w:line="73" w:lineRule="exact"/>
        <w:rPr>
          <w:rFonts w:ascii="Times New Roman" w:cs="Times New Roman" w:eastAsia="Times New Roman" w:hAnsi="Times New Roman"/>
          <w:sz w:val="12"/>
          <w:szCs w:val="12"/>
          <w:color w:val="auto"/>
        </w:rPr>
      </w:pPr>
    </w:p>
    <w:p>
      <w:pPr>
        <w:ind w:left="365" w:hanging="365"/>
        <w:spacing w:after="0"/>
        <w:tabs>
          <w:tab w:leader="none" w:pos="365" w:val="left"/>
        </w:tabs>
        <w:numPr>
          <w:ilvl w:val="0"/>
          <w:numId w:val="15"/>
        </w:numPr>
        <w:rPr>
          <w:rFonts w:ascii="Times New Roman" w:cs="Times New Roman" w:eastAsia="Times New Roman" w:hAnsi="Times New Roman"/>
          <w:sz w:val="12"/>
          <w:szCs w:val="12"/>
          <w:color w:val="auto"/>
        </w:rPr>
      </w:pPr>
      <w:r>
        <w:rPr>
          <w:rFonts w:ascii="Arial" w:cs="Arial" w:eastAsia="Arial" w:hAnsi="Arial"/>
          <w:sz w:val="13"/>
          <w:szCs w:val="13"/>
          <w:color w:val="auto"/>
        </w:rPr>
        <w:t>Adjusted EPS represents Adjusted Net (Loss) Income divided by UNIFI’s weighted average common shares outstanding.</w:t>
      </w:r>
    </w:p>
    <w:p>
      <w:pPr>
        <w:spacing w:after="0" w:line="110" w:lineRule="exact"/>
        <w:rPr>
          <w:rFonts w:ascii="Times New Roman" w:cs="Times New Roman" w:eastAsia="Times New Roman" w:hAnsi="Times New Roman"/>
          <w:sz w:val="12"/>
          <w:szCs w:val="12"/>
          <w:color w:val="auto"/>
        </w:rPr>
      </w:pPr>
    </w:p>
    <w:p>
      <w:pPr>
        <w:ind w:left="365" w:hanging="365"/>
        <w:spacing w:after="0"/>
        <w:tabs>
          <w:tab w:leader="none" w:pos="365" w:val="left"/>
        </w:tabs>
        <w:numPr>
          <w:ilvl w:val="0"/>
          <w:numId w:val="15"/>
        </w:numPr>
        <w:rPr>
          <w:rFonts w:ascii="Times New Roman" w:cs="Times New Roman" w:eastAsia="Times New Roman" w:hAnsi="Times New Roman"/>
          <w:sz w:val="12"/>
          <w:szCs w:val="12"/>
          <w:color w:val="auto"/>
        </w:rPr>
      </w:pPr>
      <w:r>
        <w:rPr>
          <w:rFonts w:ascii="Arial" w:cs="Arial" w:eastAsia="Arial" w:hAnsi="Arial"/>
          <w:sz w:val="13"/>
          <w:szCs w:val="13"/>
          <w:color w:val="auto"/>
        </w:rPr>
        <w:t>Net Debt represents debt principal less cash and cash equivalents.</w:t>
      </w:r>
    </w:p>
    <w:p>
      <w:pPr>
        <w:spacing w:after="0" w:line="99" w:lineRule="exact"/>
        <w:rPr>
          <w:sz w:val="20"/>
          <w:szCs w:val="20"/>
          <w:color w:val="auto"/>
        </w:rPr>
      </w:pPr>
    </w:p>
    <w:p>
      <w:pPr>
        <w:jc w:val="both"/>
        <w:ind w:left="5"/>
        <w:spacing w:after="0" w:line="241" w:lineRule="auto"/>
        <w:rPr>
          <w:sz w:val="20"/>
          <w:szCs w:val="20"/>
          <w:color w:val="auto"/>
        </w:rPr>
      </w:pPr>
      <w:r>
        <w:rPr>
          <w:rFonts w:ascii="Arial" w:cs="Arial" w:eastAsia="Arial" w:hAnsi="Arial"/>
          <w:sz w:val="13"/>
          <w:szCs w:val="13"/>
          <w:color w:val="auto"/>
        </w:rPr>
        <w:t>The non-GAAP financial measures are not determined in accordance with GAAP and should not be considered a substitute for performance measures determined in accordance with GAAP. The calculations of the non-GAAP financial measures are subjective, based on management’s belief as to which items should be included or excluded in order to provide the most reasonable and comparable view of the underlying operating performance of the business. We may, from time to time, modify the amounts used to determine our non-GAAP financial measures.</w:t>
      </w:r>
    </w:p>
    <w:p>
      <w:pPr>
        <w:spacing w:after="0" w:line="82" w:lineRule="exact"/>
        <w:rPr>
          <w:sz w:val="20"/>
          <w:szCs w:val="20"/>
          <w:color w:val="auto"/>
        </w:rPr>
      </w:pPr>
    </w:p>
    <w:p>
      <w:pPr>
        <w:jc w:val="both"/>
        <w:ind w:left="5" w:right="20"/>
        <w:spacing w:after="0" w:line="254" w:lineRule="auto"/>
        <w:rPr>
          <w:sz w:val="20"/>
          <w:szCs w:val="20"/>
          <w:color w:val="auto"/>
        </w:rPr>
      </w:pPr>
      <w:r>
        <w:rPr>
          <w:rFonts w:ascii="Arial" w:cs="Arial" w:eastAsia="Arial" w:hAnsi="Arial"/>
          <w:sz w:val="13"/>
          <w:szCs w:val="13"/>
          <w:color w:val="auto"/>
        </w:rPr>
        <w:t>We believe that these non-GAAP financial measures better reflect UNIFI’s underlying operations and performance and that their use, as operating performance measures, provides investors and analysts with a measure of operating results unaffected by differences in capital structures, capital investment cycles, and ages of related assets, among otherwise comparable companies.</w:t>
      </w:r>
    </w:p>
    <w:p>
      <w:pPr>
        <w:spacing w:after="0" w:line="86" w:lineRule="exact"/>
        <w:rPr>
          <w:sz w:val="20"/>
          <w:szCs w:val="20"/>
          <w:color w:val="auto"/>
        </w:rPr>
      </w:pPr>
    </w:p>
    <w:p>
      <w:pPr>
        <w:jc w:val="both"/>
        <w:ind w:left="5"/>
        <w:spacing w:after="0" w:line="235" w:lineRule="auto"/>
        <w:rPr>
          <w:sz w:val="20"/>
          <w:szCs w:val="20"/>
          <w:color w:val="auto"/>
        </w:rPr>
      </w:pPr>
      <w:r>
        <w:rPr>
          <w:rFonts w:ascii="Arial" w:cs="Arial" w:eastAsia="Arial" w:hAnsi="Arial"/>
          <w:sz w:val="13"/>
          <w:szCs w:val="13"/>
          <w:color w:val="auto"/>
        </w:rPr>
        <w:t>This press release also includes certain forward-looking information that is not presented in accordance with GAAP. Management believes that a quantitative reconciliation of such forward-looking information to the most directly comparable financial measure calculated and presented in accordance with GAAP cannot be made available without unreasonable efforts because a reconciliation of these non-GAAP financial measures would require UNIFI to predict the timing and likelihood of potential future events such as restructurings, M&amp;A activity, contract modifications, and other infrequent or unusual gains and losses. Neither the timing nor likelihood of these events, nor their probable significance, can be quantified with a reasonable degree of accuracy. Accordingly, a reconciliation of such forward-looking information to the most directly comparable GAAP financial measure is not provided.</w:t>
      </w:r>
    </w:p>
    <w:p>
      <w:pPr>
        <w:spacing w:after="0" w:line="84" w:lineRule="exact"/>
        <w:rPr>
          <w:sz w:val="20"/>
          <w:szCs w:val="20"/>
          <w:color w:val="auto"/>
        </w:rPr>
      </w:pPr>
    </w:p>
    <w:p>
      <w:pPr>
        <w:jc w:val="both"/>
        <w:ind w:left="5"/>
        <w:spacing w:after="0" w:line="234" w:lineRule="auto"/>
        <w:rPr>
          <w:sz w:val="20"/>
          <w:szCs w:val="20"/>
          <w:color w:val="auto"/>
        </w:rPr>
      </w:pPr>
      <w:r>
        <w:rPr>
          <w:rFonts w:ascii="Arial" w:cs="Arial" w:eastAsia="Arial" w:hAnsi="Arial"/>
          <w:sz w:val="13"/>
          <w:szCs w:val="13"/>
          <w:color w:val="auto"/>
        </w:rPr>
        <w:t>Management uses Adjusted EBITDA (i) as a measurement of operating performance because it assists us in comparing our operating performance on a consistent basis, as it removes the impact of (a) items directly related to our asset base (primarily depreciation and amortization) and (b) items that we would not expect to occur as a part of our normal business on a regular basis; (ii) for planning purposes, including the preparation of our annual operating budget; (iii) as a valuation measure for evaluating our operating performance and our capacity to incur and service debt, fund capital expenditures, and expand our business; and (iv) as one measure in determining the value of other acquisitions and dispositions. Adjusted EBITDA is a key performance metric utilized in the determination of variable compensation. We also believe Adjusted EBITDA is an appropriate supplemental measure of debt service capacity, because it serves as a high-level proxy for cash generated from operations.</w:t>
      </w:r>
    </w:p>
    <w:p>
      <w:pPr>
        <w:spacing w:after="0" w:line="83" w:lineRule="exact"/>
        <w:rPr>
          <w:sz w:val="20"/>
          <w:szCs w:val="20"/>
          <w:color w:val="auto"/>
        </w:rPr>
      </w:pPr>
    </w:p>
    <w:p>
      <w:pPr>
        <w:jc w:val="both"/>
        <w:ind w:left="5" w:right="20"/>
        <w:spacing w:after="0" w:line="237" w:lineRule="auto"/>
        <w:rPr>
          <w:sz w:val="20"/>
          <w:szCs w:val="20"/>
          <w:color w:val="auto"/>
        </w:rPr>
      </w:pPr>
      <w:r>
        <w:rPr>
          <w:rFonts w:ascii="Arial" w:cs="Arial" w:eastAsia="Arial" w:hAnsi="Arial"/>
          <w:sz w:val="13"/>
          <w:szCs w:val="13"/>
          <w:color w:val="auto"/>
        </w:rPr>
        <w:t>Management uses Adjusted Net (Loss) Income and Adjusted EPS (i) as measurements of net operating performance because they assist us in comparing such performance on a consistent basis, as they remove the impact of (a) items that we would not expect to occur as a part of our normal business on a regular basis and (b) components of the provision for income taxes that we would not expect to occur as a part of our underlying taxable operations; (ii) for planning purposes, including the preparation of our annual operating budget; and (iii) as measures in determining the value of other acquisitions and dispositions.</w:t>
      </w:r>
    </w:p>
    <w:p>
      <w:pPr>
        <w:spacing w:after="0" w:line="95" w:lineRule="exact"/>
        <w:rPr>
          <w:sz w:val="20"/>
          <w:szCs w:val="20"/>
          <w:color w:val="auto"/>
        </w:rPr>
      </w:pPr>
    </w:p>
    <w:p>
      <w:pPr>
        <w:ind w:left="5"/>
        <w:spacing w:after="0"/>
        <w:rPr>
          <w:sz w:val="20"/>
          <w:szCs w:val="20"/>
          <w:color w:val="auto"/>
        </w:rPr>
      </w:pPr>
      <w:r>
        <w:rPr>
          <w:rFonts w:ascii="Arial" w:cs="Arial" w:eastAsia="Arial" w:hAnsi="Arial"/>
          <w:sz w:val="13"/>
          <w:szCs w:val="13"/>
          <w:color w:val="auto"/>
        </w:rPr>
        <w:t>Management uses Net Debt as a liquidity and leverage metric to determine how much debt would remain if all cash and cash equivalents were used to pay down debt principal.</w:t>
      </w:r>
    </w:p>
    <w:p>
      <w:pPr>
        <w:spacing w:after="0" w:line="111" w:lineRule="exact"/>
        <w:rPr>
          <w:sz w:val="20"/>
          <w:szCs w:val="20"/>
          <w:color w:val="auto"/>
        </w:rPr>
      </w:pPr>
    </w:p>
    <w:p>
      <w:pPr>
        <w:jc w:val="both"/>
        <w:ind w:left="5"/>
        <w:spacing w:after="0" w:line="233" w:lineRule="auto"/>
        <w:rPr>
          <w:sz w:val="20"/>
          <w:szCs w:val="20"/>
          <w:color w:val="auto"/>
        </w:rPr>
      </w:pPr>
      <w:r>
        <w:rPr>
          <w:rFonts w:ascii="Arial" w:cs="Arial" w:eastAsia="Arial" w:hAnsi="Arial"/>
          <w:sz w:val="13"/>
          <w:szCs w:val="13"/>
          <w:color w:val="auto"/>
        </w:rPr>
        <w:t>In evaluating non-GAAP financial measures, investors should be aware that, in the future, we may incur expenses similar to the adjustments included herein. Our presentation of non-GAAP financial measures should not be construed as indicating that our future results will be unaffected by unusual or non-recurring items. Each of our non-GAAP financial measures has limitations as an analytical tool, and investors should not consider it in isolation or as a substitute for analysis of our results or liquidity measures as reported under GAAP. Some of these limitations are (i) it is not adjusted for all non-cash income or expense items that are reflected in our statements of cash flows; (ii) it does not reflect the impact of earnings or charges resulting from matters we consider not indicative of our ongoing operations; (iii) it does not reflect changes in, or cash requirements for, our working capital needs; (iv) it does not reflect the cash requirements necessary to make payments on our debt; (v) it does not reflect our future requirements for capital expenditures or contractual commitments; (vi) it does not reflect limitations on or costs related to transferring earnings from our subsidiaries to us; and (vii) other companies in our industry may calculate this measure differently than we do, limiting its usefulness as a comparative measure.</w:t>
      </w:r>
    </w:p>
    <w:p>
      <w:pPr>
        <w:spacing w:after="0" w:line="84" w:lineRule="exact"/>
        <w:rPr>
          <w:sz w:val="20"/>
          <w:szCs w:val="20"/>
          <w:color w:val="auto"/>
        </w:rPr>
      </w:pPr>
    </w:p>
    <w:p>
      <w:pPr>
        <w:jc w:val="both"/>
        <w:ind w:left="5" w:right="20"/>
        <w:spacing w:after="0" w:line="241" w:lineRule="auto"/>
        <w:rPr>
          <w:sz w:val="20"/>
          <w:szCs w:val="20"/>
          <w:color w:val="auto"/>
        </w:rPr>
      </w:pPr>
      <w:r>
        <w:rPr>
          <w:rFonts w:ascii="Arial" w:cs="Arial" w:eastAsia="Arial" w:hAnsi="Arial"/>
          <w:sz w:val="13"/>
          <w:szCs w:val="13"/>
          <w:color w:val="auto"/>
        </w:rPr>
        <w:t>Because of these limitations, these non-GAAP financial measures should not be considered as a measure of discretionary cash available to us to invest in the growth of our business or as a measure of cash that will be available to us to meet our obligations, including those under our outstanding debt obligations. Investors should compensate for these limitations by relying primarily on our GAAP results and using these measures only as supplemental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780415</wp:posOffset>
            </wp:positionV>
            <wp:extent cx="717486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440" w:right="31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1081405" cy="4057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1081405" cy="40576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Cautionary Statement on Forward-Looking Statements</w:t>
      </w:r>
    </w:p>
    <w:p>
      <w:pPr>
        <w:spacing w:after="0" w:line="111" w:lineRule="exact"/>
        <w:rPr>
          <w:sz w:val="20"/>
          <w:szCs w:val="20"/>
          <w:color w:val="auto"/>
        </w:rPr>
      </w:pPr>
    </w:p>
    <w:p>
      <w:pPr>
        <w:jc w:val="both"/>
        <w:spacing w:after="0" w:line="234" w:lineRule="auto"/>
        <w:rPr>
          <w:sz w:val="20"/>
          <w:szCs w:val="20"/>
          <w:color w:val="auto"/>
        </w:rPr>
      </w:pPr>
      <w:r>
        <w:rPr>
          <w:rFonts w:ascii="Arial" w:cs="Arial" w:eastAsia="Arial" w:hAnsi="Arial"/>
          <w:sz w:val="13"/>
          <w:szCs w:val="13"/>
          <w:color w:val="auto"/>
        </w:rPr>
        <w:t>Certain statements included herein contain “forward-looking statements” within the meaning of federal securities laws about the financial condition and results of operations of UNIFI that are based on management’s beliefs, assumptions and expectations about our future economic performance, considering the information currently available to management. An example of such forward-looking statements include, among others, guidance pertaining to our financial outlook. The words “believe,” “may,” “could,” “will,” “should,” “would,” “anticipate,” “plan,” “estimate,” “project,” “expect,” “intend,” “seek,” “strive” and words of similar import, or the negative of such words, identify or signal the presence of forward-looking statements. These statements are not statements of historical fact, and they involve risks and uncertainties that may cause our actual results, performance or financial condition to differ materially from the expectations of future results, performance or financial condition that we express or imply in any forward-looking statement.</w:t>
      </w:r>
    </w:p>
    <w:p>
      <w:pPr>
        <w:spacing w:after="0" w:line="95" w:lineRule="exact"/>
        <w:rPr>
          <w:sz w:val="20"/>
          <w:szCs w:val="20"/>
          <w:color w:val="auto"/>
        </w:rPr>
      </w:pPr>
    </w:p>
    <w:p>
      <w:pPr>
        <w:jc w:val="both"/>
        <w:spacing w:after="0" w:line="231" w:lineRule="auto"/>
        <w:rPr>
          <w:sz w:val="20"/>
          <w:szCs w:val="20"/>
          <w:color w:val="auto"/>
        </w:rPr>
      </w:pPr>
      <w:r>
        <w:rPr>
          <w:rFonts w:ascii="Arial" w:cs="Arial" w:eastAsia="Arial" w:hAnsi="Arial"/>
          <w:sz w:val="13"/>
          <w:szCs w:val="13"/>
          <w:color w:val="auto"/>
        </w:rPr>
        <w:t>Factors that could contribute to such differences include, but are not limited to: the competitive nature of the textile industry and the impact of global competition; changes in the trade regulatory environment and governmental policies and legislation; the availability, sourcing, and pricing of raw materials; general domestic and international economic and industry conditions in markets where UNIFI competes, including economic and political factors over which UNIFI has no control; changes in consumer spending, customer preferences, fashion trends, and end-uses for UNIFI's products; the financial condition of UNIFI’s customers; the loss of a significant customer or brand partner; natural disasters, industrial accidents, power or water shortages, extreme weather conditions, and other disruptions at one of our facilities; the disruption of operations, global demand, or financial performance as a result of catastrophic or extraordinary events, including, but not limited to, epidemics or pandemics; the success of UNIFI’s strategic business initiatives; the volatility of financial and credit markets, including the impacts of counterparty risk (e.g., deposit concentration and recent depositor sentiment and activity); the ability to service indebtedness and fund capital expenditures and strategic business initiatives; the availability of and access to credit on reasonable terms; changes in foreign currency exchange, interest, and inflation rates; fluctuations in production costs; the ability to protect intellectual property; the strength and reputation of our brands; employee relations; the ability to attract, retain, and motivate key employees; the impact of climate change or environmental, health, and safety regulations; and the impact of tax laws, the judicial or administrative interpretations of tax laws, and/or changes in such laws or interpretations.</w:t>
      </w:r>
    </w:p>
    <w:p>
      <w:pPr>
        <w:spacing w:after="0" w:line="99" w:lineRule="exact"/>
        <w:rPr>
          <w:sz w:val="20"/>
          <w:szCs w:val="20"/>
          <w:color w:val="auto"/>
        </w:rPr>
      </w:pPr>
    </w:p>
    <w:p>
      <w:pPr>
        <w:jc w:val="both"/>
        <w:ind w:right="20"/>
        <w:spacing w:after="0" w:line="235" w:lineRule="auto"/>
        <w:rPr>
          <w:sz w:val="20"/>
          <w:szCs w:val="20"/>
          <w:color w:val="auto"/>
        </w:rPr>
      </w:pPr>
      <w:r>
        <w:rPr>
          <w:rFonts w:ascii="Arial" w:cs="Arial" w:eastAsia="Arial" w:hAnsi="Arial"/>
          <w:sz w:val="13"/>
          <w:szCs w:val="13"/>
          <w:color w:val="auto"/>
        </w:rPr>
        <w:t>All such factors are difficult to predict, contain uncertainties that may materially affect actual results and may be beyond our control. New factors emerge from time to time, and it is not possible for management to predict all such factors or to assess the impact of each such factor on UNIFI. Any forward-looking statement speaks only as of the date on which such statement is made, and we do not undertake any obligation to update any forward-looking statement to reflect events or circumstances after the date on which such statement is made, except as may be required by federal securities laws. The above and other risks and uncertainties are described in UNIFI’s most recent Annual Report on Form 10-K, and additional risks or uncertainties may be described from time to time in other reports filed by UNIFI with the Securities and Exchange Commission pursuant to the Securities Exchange Act of 1934, as amended.</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930910</wp:posOffset>
            </wp:positionV>
            <wp:extent cx="7174865"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535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6775" cy="4353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lowerLetter"/>
      <w:start w:val="1"/>
    </w:lvl>
  </w:abstractNum>
  <w:abstractNum w:abstractNumId="2">
    <w:nsid w:val="5BD062C2"/>
    <w:multiLevelType w:val="hybridMultilevel"/>
    <w:lvl w:ilvl="0">
      <w:lvlJc w:val="left"/>
      <w:lvlText w:val="(%1)"/>
      <w:numFmt w:val="lowerLetter"/>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2"/>
    </w:lvl>
  </w:abstractNum>
  <w:abstractNum w:abstractNumId="5">
    <w:nsid w:val="216231B"/>
    <w:multiLevelType w:val="hybridMultilevel"/>
    <w:lvl w:ilvl="0">
      <w:lvlJc w:val="left"/>
      <w:lvlText w:val="%1."/>
      <w:numFmt w:val="decimal"/>
      <w:start w:val="3"/>
    </w:lvl>
  </w:abstractNum>
  <w:abstractNum w:abstractNumId="6">
    <w:nsid w:val="1F16E9E8"/>
    <w:multiLevelType w:val="hybridMultilevel"/>
    <w:lvl w:ilvl="0">
      <w:lvlJc w:val="left"/>
      <w:lvlText w:val="(%1)"/>
      <w:numFmt w:val="lowerLetter"/>
      <w:start w:val="4"/>
    </w:lvl>
  </w:abstractNum>
  <w:abstractNum w:abstractNumId="7">
    <w:nsid w:val="1190CDE7"/>
    <w:multiLevelType w:val="hybridMultilevel"/>
    <w:lvl w:ilvl="0">
      <w:lvlJc w:val="left"/>
      <w:lvlText w:val="+"/>
      <w:numFmt w:val="bullet"/>
      <w:start w:val="1"/>
    </w:lvl>
    <w:lvl w:ilvl="1">
      <w:lvlJc w:val="left"/>
      <w:lvlText w:val="%2"/>
      <w:numFmt w:val="decimal"/>
      <w:start w:val="104"/>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2026-10-29T16:02:55Z</dcterms:created>
  <dcterms:modified xsi:type="dcterms:W3CDTF">2026-10-29T16:02:55Z</dcterms:modified>
</cp:coreProperties>
</file>